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72" w:rsidRDefault="00752772" w:rsidP="00752772">
      <w:pPr>
        <w:rPr>
          <w:rFonts w:asciiTheme="minorHAnsi" w:hAnsiTheme="minorHAnsi" w:cstheme="minorHAnsi"/>
        </w:rPr>
      </w:pPr>
    </w:p>
    <w:p w:rsidR="00752772" w:rsidRDefault="00752772" w:rsidP="00752772">
      <w:pPr>
        <w:rPr>
          <w:rFonts w:asciiTheme="minorHAnsi" w:hAnsiTheme="minorHAnsi" w:cstheme="minorHAnsi"/>
        </w:rPr>
      </w:pPr>
    </w:p>
    <w:p w:rsidR="00752772" w:rsidRDefault="00752772" w:rsidP="00752772">
      <w:pPr>
        <w:rPr>
          <w:rFonts w:asciiTheme="minorHAnsi" w:hAnsiTheme="minorHAnsi" w:cstheme="minorHAnsi"/>
        </w:rPr>
      </w:pPr>
    </w:p>
    <w:p w:rsidR="00752772" w:rsidRPr="00EC2E85" w:rsidRDefault="00752772" w:rsidP="00752772">
      <w:pPr>
        <w:rPr>
          <w:rFonts w:asciiTheme="minorHAnsi" w:hAnsiTheme="minorHAnsi" w:cstheme="minorHAnsi"/>
        </w:rPr>
      </w:pPr>
    </w:p>
    <w:p w:rsidR="00737409" w:rsidRDefault="00737409" w:rsidP="00737409">
      <w:pPr>
        <w:rPr>
          <w:rFonts w:asciiTheme="minorHAnsi" w:hAnsiTheme="minorHAnsi" w:cstheme="minorHAnsi"/>
        </w:rPr>
      </w:pPr>
    </w:p>
    <w:p w:rsidR="00737409" w:rsidRPr="00EC2E85" w:rsidRDefault="00737409" w:rsidP="00737409">
      <w:pPr>
        <w:rPr>
          <w:rFonts w:asciiTheme="minorHAnsi" w:hAnsiTheme="minorHAnsi" w:cstheme="minorHAnsi"/>
        </w:rPr>
      </w:pPr>
    </w:p>
    <w:p w:rsidR="00FD426D" w:rsidRPr="00EC2754" w:rsidRDefault="00FD426D" w:rsidP="00FD426D">
      <w:pPr>
        <w:pStyle w:val="Title"/>
        <w:tabs>
          <w:tab w:val="left" w:pos="3342"/>
        </w:tabs>
        <w:spacing w:before="0" w:after="0"/>
        <w:rPr>
          <w:rFonts w:asciiTheme="minorHAnsi" w:hAnsiTheme="minorHAnsi" w:cstheme="minorHAnsi"/>
          <w:smallCaps w:val="0"/>
        </w:rPr>
      </w:pPr>
      <w:r w:rsidRPr="00EC2754">
        <w:rPr>
          <w:rFonts w:asciiTheme="minorHAnsi" w:hAnsiTheme="minorHAnsi" w:cstheme="minorHAnsi"/>
        </w:rPr>
        <w:t>AZNet II Op</w:t>
      </w:r>
      <w:r w:rsidR="007B641C">
        <w:rPr>
          <w:rFonts w:asciiTheme="minorHAnsi" w:hAnsiTheme="minorHAnsi" w:cstheme="minorHAnsi"/>
        </w:rPr>
        <w:t>e</w:t>
      </w:r>
      <w:r w:rsidR="0028074B">
        <w:rPr>
          <w:rFonts w:asciiTheme="minorHAnsi" w:hAnsiTheme="minorHAnsi" w:cstheme="minorHAnsi"/>
        </w:rPr>
        <w:t>rations</w:t>
      </w:r>
      <w:r w:rsidRPr="00EC2754">
        <w:rPr>
          <w:rFonts w:asciiTheme="minorHAnsi" w:hAnsiTheme="minorHAnsi" w:cstheme="minorHAnsi"/>
        </w:rPr>
        <w:t xml:space="preserve"> </w:t>
      </w:r>
      <w:r w:rsidR="00185531">
        <w:rPr>
          <w:rFonts w:asciiTheme="minorHAnsi" w:hAnsiTheme="minorHAnsi" w:cstheme="minorHAnsi"/>
        </w:rPr>
        <w:t>-</w:t>
      </w:r>
    </w:p>
    <w:p w:rsidR="0028074B" w:rsidRDefault="00CD1860" w:rsidP="00FD426D">
      <w:pPr>
        <w:pStyle w:val="Title"/>
        <w:tabs>
          <w:tab w:val="left" w:pos="3342"/>
        </w:tabs>
        <w:spacing w:before="0" w:after="0"/>
        <w:rPr>
          <w:rFonts w:asciiTheme="minorHAnsi" w:hAnsiTheme="minorHAnsi" w:cstheme="minorHAnsi"/>
        </w:rPr>
      </w:pPr>
      <w:r>
        <w:rPr>
          <w:rFonts w:asciiTheme="minorHAnsi" w:hAnsiTheme="minorHAnsi" w:cstheme="minorHAnsi"/>
        </w:rPr>
        <w:t>Billing Dispute</w:t>
      </w:r>
    </w:p>
    <w:p w:rsidR="00DE1BA2" w:rsidRDefault="00DE1BA2" w:rsidP="00FD426D">
      <w:pPr>
        <w:pStyle w:val="Title"/>
        <w:tabs>
          <w:tab w:val="left" w:pos="3342"/>
        </w:tabs>
        <w:spacing w:before="0" w:after="0"/>
        <w:rPr>
          <w:rFonts w:asciiTheme="minorHAnsi" w:hAnsiTheme="minorHAnsi" w:cstheme="minorHAnsi"/>
        </w:rPr>
      </w:pPr>
      <w:r>
        <w:rPr>
          <w:rFonts w:asciiTheme="minorHAnsi" w:hAnsiTheme="minorHAnsi" w:cstheme="minorHAnsi"/>
        </w:rPr>
        <w:t>Process Guide</w:t>
      </w:r>
    </w:p>
    <w:p w:rsidR="00FD426D" w:rsidRPr="00EC2754" w:rsidRDefault="00FD426D" w:rsidP="00FD426D">
      <w:pPr>
        <w:pStyle w:val="Title"/>
        <w:tabs>
          <w:tab w:val="left" w:pos="3342"/>
        </w:tabs>
        <w:spacing w:before="0" w:after="0"/>
        <w:rPr>
          <w:rFonts w:asciiTheme="minorHAnsi" w:hAnsiTheme="minorHAnsi" w:cstheme="minorHAnsi"/>
          <w:smallCaps w:val="0"/>
        </w:rPr>
      </w:pPr>
    </w:p>
    <w:p w:rsidR="00737409" w:rsidRDefault="00737409" w:rsidP="00737409">
      <w:pPr>
        <w:pStyle w:val="Title"/>
        <w:rPr>
          <w:rFonts w:asciiTheme="minorHAnsi" w:hAnsiTheme="minorHAnsi" w:cstheme="minorHAnsi"/>
        </w:rPr>
      </w:pPr>
    </w:p>
    <w:p w:rsidR="00737409" w:rsidRDefault="00737409" w:rsidP="0028074B">
      <w:pPr>
        <w:pStyle w:val="Title"/>
        <w:jc w:val="left"/>
        <w:rPr>
          <w:rFonts w:asciiTheme="minorHAnsi" w:hAnsiTheme="minorHAnsi" w:cstheme="minorHAnsi"/>
        </w:rPr>
      </w:pPr>
    </w:p>
    <w:p w:rsidR="00737409" w:rsidRPr="00EC2E85" w:rsidRDefault="00DE1BA2" w:rsidP="00737409">
      <w:pPr>
        <w:pStyle w:val="Title"/>
        <w:rPr>
          <w:rFonts w:asciiTheme="minorHAnsi" w:hAnsiTheme="minorHAnsi" w:cstheme="minorHAnsi"/>
          <w:sz w:val="32"/>
        </w:rPr>
      </w:pPr>
      <w:r>
        <w:rPr>
          <w:rFonts w:asciiTheme="minorHAnsi" w:hAnsiTheme="minorHAnsi" w:cstheme="minorHAnsi"/>
          <w:sz w:val="32"/>
        </w:rPr>
        <w:t>AUGUST 2013</w:t>
      </w:r>
    </w:p>
    <w:p w:rsidR="00737409" w:rsidRDefault="00737409" w:rsidP="00737409">
      <w:pPr>
        <w:pStyle w:val="Title"/>
        <w:rPr>
          <w:rFonts w:asciiTheme="minorHAnsi" w:hAnsiTheme="minorHAnsi" w:cstheme="minorHAnsi"/>
          <w:sz w:val="22"/>
          <w:szCs w:val="22"/>
        </w:rPr>
      </w:pPr>
    </w:p>
    <w:p w:rsidR="00737409" w:rsidRPr="00C932D8" w:rsidRDefault="00737409" w:rsidP="00737409">
      <w:pPr>
        <w:ind w:left="-270"/>
        <w:rPr>
          <w:rFonts w:asciiTheme="minorHAnsi" w:hAnsiTheme="minorHAnsi"/>
          <w:b/>
        </w:rPr>
      </w:pPr>
      <w:r w:rsidRPr="00C932D8">
        <w:rPr>
          <w:rFonts w:asciiTheme="minorHAnsi" w:hAnsiTheme="minorHAnsi"/>
          <w:b/>
        </w:rPr>
        <w:t>Revision History</w:t>
      </w:r>
    </w:p>
    <w:tbl>
      <w:tblPr>
        <w:tblStyle w:val="TableGrid"/>
        <w:tblW w:w="10080" w:type="dxa"/>
        <w:tblInd w:w="-162" w:type="dxa"/>
        <w:tblLook w:val="04A0" w:firstRow="1" w:lastRow="0" w:firstColumn="1" w:lastColumn="0" w:noHBand="0" w:noVBand="1"/>
      </w:tblPr>
      <w:tblGrid>
        <w:gridCol w:w="3432"/>
        <w:gridCol w:w="2238"/>
        <w:gridCol w:w="4410"/>
      </w:tblGrid>
      <w:tr w:rsidR="00737409" w:rsidRPr="00C932D8" w:rsidTr="007C3E9F">
        <w:trPr>
          <w:trHeight w:val="305"/>
        </w:trPr>
        <w:tc>
          <w:tcPr>
            <w:tcW w:w="3432" w:type="dxa"/>
          </w:tcPr>
          <w:p w:rsidR="00737409" w:rsidRPr="00C932D8" w:rsidRDefault="00737409" w:rsidP="00CD1860">
            <w:pPr>
              <w:rPr>
                <w:rFonts w:asciiTheme="minorHAnsi" w:hAnsiTheme="minorHAnsi"/>
                <w:b/>
              </w:rPr>
            </w:pPr>
            <w:bookmarkStart w:id="0" w:name="_Toc327989797"/>
            <w:bookmarkStart w:id="1" w:name="_Toc328643973"/>
            <w:bookmarkStart w:id="2" w:name="_Toc328675751"/>
            <w:r w:rsidRPr="00C932D8">
              <w:rPr>
                <w:rFonts w:asciiTheme="minorHAnsi" w:hAnsiTheme="minorHAnsi"/>
                <w:b/>
              </w:rPr>
              <w:t>Revision #</w:t>
            </w:r>
            <w:bookmarkEnd w:id="0"/>
            <w:bookmarkEnd w:id="1"/>
            <w:bookmarkEnd w:id="2"/>
          </w:p>
        </w:tc>
        <w:tc>
          <w:tcPr>
            <w:tcW w:w="2238" w:type="dxa"/>
          </w:tcPr>
          <w:p w:rsidR="00737409" w:rsidRPr="00C932D8" w:rsidRDefault="00737409" w:rsidP="00CD1860">
            <w:pPr>
              <w:rPr>
                <w:rFonts w:asciiTheme="minorHAnsi" w:hAnsiTheme="minorHAnsi"/>
                <w:b/>
              </w:rPr>
            </w:pPr>
            <w:bookmarkStart w:id="3" w:name="_Toc327989798"/>
            <w:bookmarkStart w:id="4" w:name="_Toc328643974"/>
            <w:bookmarkStart w:id="5" w:name="_Toc328675752"/>
            <w:r w:rsidRPr="00C932D8">
              <w:rPr>
                <w:rFonts w:asciiTheme="minorHAnsi" w:hAnsiTheme="minorHAnsi"/>
                <w:b/>
              </w:rPr>
              <w:t>Date of Release</w:t>
            </w:r>
            <w:bookmarkEnd w:id="3"/>
            <w:bookmarkEnd w:id="4"/>
            <w:bookmarkEnd w:id="5"/>
          </w:p>
        </w:tc>
        <w:tc>
          <w:tcPr>
            <w:tcW w:w="4410" w:type="dxa"/>
          </w:tcPr>
          <w:p w:rsidR="00737409" w:rsidRPr="00C932D8" w:rsidRDefault="00737409" w:rsidP="00CD1860">
            <w:pPr>
              <w:rPr>
                <w:rFonts w:asciiTheme="minorHAnsi" w:hAnsiTheme="minorHAnsi"/>
                <w:b/>
              </w:rPr>
            </w:pPr>
            <w:bookmarkStart w:id="6" w:name="_Toc327989799"/>
            <w:bookmarkStart w:id="7" w:name="_Toc328643975"/>
            <w:bookmarkStart w:id="8" w:name="_Toc328675753"/>
            <w:r w:rsidRPr="00C932D8">
              <w:rPr>
                <w:rFonts w:asciiTheme="minorHAnsi" w:hAnsiTheme="minorHAnsi"/>
                <w:b/>
              </w:rPr>
              <w:t>Purpose</w:t>
            </w:r>
            <w:bookmarkEnd w:id="6"/>
            <w:bookmarkEnd w:id="7"/>
            <w:bookmarkEnd w:id="8"/>
          </w:p>
        </w:tc>
      </w:tr>
      <w:tr w:rsidR="007C3E9F" w:rsidRPr="00C932D8" w:rsidTr="007C3E9F">
        <w:tc>
          <w:tcPr>
            <w:tcW w:w="3432" w:type="dxa"/>
          </w:tcPr>
          <w:p w:rsidR="007C3E9F" w:rsidRPr="00C932D8" w:rsidRDefault="00B40F35" w:rsidP="00812D3E">
            <w:pPr>
              <w:rPr>
                <w:rFonts w:asciiTheme="minorHAnsi" w:hAnsiTheme="minorHAnsi"/>
                <w:b/>
              </w:rPr>
            </w:pPr>
            <w:r>
              <w:rPr>
                <w:rFonts w:asciiTheme="minorHAnsi" w:hAnsiTheme="minorHAnsi"/>
                <w:b/>
              </w:rPr>
              <w:t>v.</w:t>
            </w:r>
            <w:r w:rsidR="00812D3E">
              <w:rPr>
                <w:rFonts w:asciiTheme="minorHAnsi" w:hAnsiTheme="minorHAnsi"/>
                <w:b/>
              </w:rPr>
              <w:t>1</w:t>
            </w:r>
            <w:r>
              <w:rPr>
                <w:rFonts w:asciiTheme="minorHAnsi" w:hAnsiTheme="minorHAnsi"/>
                <w:b/>
              </w:rPr>
              <w:t>.0</w:t>
            </w:r>
          </w:p>
        </w:tc>
        <w:tc>
          <w:tcPr>
            <w:tcW w:w="2238" w:type="dxa"/>
          </w:tcPr>
          <w:p w:rsidR="007C3E9F" w:rsidRPr="001066F1" w:rsidRDefault="007C3E9F" w:rsidP="00420BFF">
            <w:pPr>
              <w:rPr>
                <w:rFonts w:asciiTheme="minorHAnsi" w:hAnsiTheme="minorHAnsi"/>
                <w:b/>
                <w:highlight w:val="yellow"/>
              </w:rPr>
            </w:pPr>
          </w:p>
        </w:tc>
        <w:tc>
          <w:tcPr>
            <w:tcW w:w="4410" w:type="dxa"/>
          </w:tcPr>
          <w:p w:rsidR="007C3E9F" w:rsidRPr="00C932D8" w:rsidRDefault="00420BFF" w:rsidP="00CD1860">
            <w:pPr>
              <w:rPr>
                <w:rFonts w:asciiTheme="minorHAnsi" w:hAnsiTheme="minorHAnsi"/>
                <w:b/>
              </w:rPr>
            </w:pPr>
            <w:r>
              <w:rPr>
                <w:rFonts w:asciiTheme="minorHAnsi" w:hAnsiTheme="minorHAnsi"/>
                <w:b/>
              </w:rPr>
              <w:t>Create</w:t>
            </w:r>
            <w:r w:rsidR="00A377CF">
              <w:rPr>
                <w:rFonts w:asciiTheme="minorHAnsi" w:hAnsiTheme="minorHAnsi"/>
                <w:b/>
              </w:rPr>
              <w:t xml:space="preserve"> </w:t>
            </w:r>
            <w:proofErr w:type="spellStart"/>
            <w:r w:rsidR="00A377CF">
              <w:rPr>
                <w:rFonts w:asciiTheme="minorHAnsi" w:hAnsiTheme="minorHAnsi"/>
                <w:b/>
              </w:rPr>
              <w:t>adm</w:t>
            </w:r>
            <w:proofErr w:type="spellEnd"/>
            <w:r w:rsidR="00A377CF">
              <w:rPr>
                <w:rFonts w:asciiTheme="minorHAnsi" w:hAnsiTheme="minorHAnsi"/>
                <w:b/>
              </w:rPr>
              <w:t xml:space="preserve"> format</w:t>
            </w:r>
          </w:p>
        </w:tc>
      </w:tr>
      <w:tr w:rsidR="00B40F35" w:rsidRPr="00C932D8" w:rsidTr="007C3E9F">
        <w:tc>
          <w:tcPr>
            <w:tcW w:w="3432" w:type="dxa"/>
          </w:tcPr>
          <w:p w:rsidR="00B40F35" w:rsidRPr="00C932D8" w:rsidRDefault="00B40F35" w:rsidP="00812D3E">
            <w:pPr>
              <w:rPr>
                <w:rFonts w:asciiTheme="minorHAnsi" w:hAnsiTheme="minorHAnsi"/>
                <w:b/>
              </w:rPr>
            </w:pPr>
            <w:r>
              <w:rPr>
                <w:rFonts w:asciiTheme="minorHAnsi" w:hAnsiTheme="minorHAnsi"/>
                <w:b/>
              </w:rPr>
              <w:t>v.</w:t>
            </w:r>
            <w:r w:rsidR="00812D3E">
              <w:rPr>
                <w:rFonts w:asciiTheme="minorHAnsi" w:hAnsiTheme="minorHAnsi"/>
                <w:b/>
              </w:rPr>
              <w:t>1</w:t>
            </w:r>
            <w:r>
              <w:rPr>
                <w:rFonts w:asciiTheme="minorHAnsi" w:hAnsiTheme="minorHAnsi"/>
                <w:b/>
              </w:rPr>
              <w:t>.1</w:t>
            </w:r>
          </w:p>
        </w:tc>
        <w:tc>
          <w:tcPr>
            <w:tcW w:w="2238" w:type="dxa"/>
          </w:tcPr>
          <w:p w:rsidR="00B40F35" w:rsidRPr="001066F1" w:rsidRDefault="00B40F35" w:rsidP="00CD1860">
            <w:pPr>
              <w:rPr>
                <w:rFonts w:asciiTheme="minorHAnsi" w:hAnsiTheme="minorHAnsi"/>
                <w:b/>
                <w:highlight w:val="yellow"/>
              </w:rPr>
            </w:pPr>
          </w:p>
        </w:tc>
        <w:tc>
          <w:tcPr>
            <w:tcW w:w="4410" w:type="dxa"/>
          </w:tcPr>
          <w:p w:rsidR="00B40F35" w:rsidRPr="00C932D8" w:rsidRDefault="00B40F35" w:rsidP="00CD1860">
            <w:pPr>
              <w:rPr>
                <w:rFonts w:asciiTheme="minorHAnsi" w:hAnsiTheme="minorHAnsi"/>
                <w:b/>
              </w:rPr>
            </w:pPr>
            <w:r>
              <w:rPr>
                <w:rFonts w:asciiTheme="minorHAnsi" w:hAnsiTheme="minorHAnsi"/>
                <w:b/>
              </w:rPr>
              <w:t>Update to AZNet II CTL format</w:t>
            </w:r>
          </w:p>
        </w:tc>
      </w:tr>
      <w:tr w:rsidR="00413956" w:rsidRPr="00C932D8" w:rsidTr="007C3E9F">
        <w:tc>
          <w:tcPr>
            <w:tcW w:w="3432" w:type="dxa"/>
          </w:tcPr>
          <w:p w:rsidR="00413956" w:rsidRDefault="00413956" w:rsidP="00812D3E">
            <w:pPr>
              <w:rPr>
                <w:rFonts w:asciiTheme="minorHAnsi" w:hAnsiTheme="minorHAnsi"/>
                <w:b/>
              </w:rPr>
            </w:pPr>
            <w:r>
              <w:rPr>
                <w:rFonts w:asciiTheme="minorHAnsi" w:hAnsiTheme="minorHAnsi"/>
                <w:b/>
              </w:rPr>
              <w:t>v.1.2</w:t>
            </w:r>
          </w:p>
        </w:tc>
        <w:tc>
          <w:tcPr>
            <w:tcW w:w="2238" w:type="dxa"/>
          </w:tcPr>
          <w:p w:rsidR="00413956" w:rsidRPr="001066F1" w:rsidRDefault="004C7E1C" w:rsidP="00CD1860">
            <w:pPr>
              <w:rPr>
                <w:rFonts w:asciiTheme="minorHAnsi" w:hAnsiTheme="minorHAnsi"/>
                <w:b/>
                <w:highlight w:val="yellow"/>
              </w:rPr>
            </w:pPr>
            <w:r>
              <w:rPr>
                <w:rFonts w:asciiTheme="minorHAnsi" w:hAnsiTheme="minorHAnsi"/>
                <w:b/>
                <w:highlight w:val="yellow"/>
              </w:rPr>
              <w:t>9/19/2014</w:t>
            </w:r>
          </w:p>
        </w:tc>
        <w:tc>
          <w:tcPr>
            <w:tcW w:w="4410" w:type="dxa"/>
          </w:tcPr>
          <w:p w:rsidR="00413956" w:rsidRDefault="004C7E1C" w:rsidP="00CD1860">
            <w:pPr>
              <w:rPr>
                <w:rFonts w:asciiTheme="minorHAnsi" w:hAnsiTheme="minorHAnsi"/>
                <w:b/>
              </w:rPr>
            </w:pPr>
            <w:r>
              <w:rPr>
                <w:rFonts w:asciiTheme="minorHAnsi" w:hAnsiTheme="minorHAnsi"/>
                <w:b/>
              </w:rPr>
              <w:t>Clarifications</w:t>
            </w:r>
          </w:p>
        </w:tc>
      </w:tr>
    </w:tbl>
    <w:p w:rsidR="00737409" w:rsidRPr="00C932D8" w:rsidRDefault="00737409" w:rsidP="00737409">
      <w:pPr>
        <w:rPr>
          <w:rFonts w:asciiTheme="minorHAnsi" w:hAnsiTheme="minorHAnsi"/>
          <w:sz w:val="24"/>
        </w:rPr>
      </w:pPr>
    </w:p>
    <w:p w:rsidR="00737409" w:rsidRPr="00C932D8" w:rsidRDefault="00737409" w:rsidP="00737409">
      <w:pPr>
        <w:ind w:left="-270"/>
        <w:rPr>
          <w:rFonts w:asciiTheme="minorHAnsi" w:hAnsiTheme="minorHAnsi"/>
          <w:b/>
        </w:rPr>
      </w:pPr>
      <w:r w:rsidRPr="00C932D8">
        <w:rPr>
          <w:rFonts w:asciiTheme="minorHAnsi" w:hAnsiTheme="minorHAnsi"/>
          <w:b/>
        </w:rPr>
        <w:t>Approvals</w:t>
      </w:r>
    </w:p>
    <w:tbl>
      <w:tblPr>
        <w:tblStyle w:val="TableGrid"/>
        <w:tblW w:w="10080" w:type="dxa"/>
        <w:tblInd w:w="-162" w:type="dxa"/>
        <w:tblLook w:val="04A0" w:firstRow="1" w:lastRow="0" w:firstColumn="1" w:lastColumn="0" w:noHBand="0" w:noVBand="1"/>
      </w:tblPr>
      <w:tblGrid>
        <w:gridCol w:w="3432"/>
        <w:gridCol w:w="4218"/>
        <w:gridCol w:w="2430"/>
      </w:tblGrid>
      <w:tr w:rsidR="00737409" w:rsidRPr="00C932D8" w:rsidTr="00CD1860">
        <w:tc>
          <w:tcPr>
            <w:tcW w:w="3432" w:type="dxa"/>
          </w:tcPr>
          <w:p w:rsidR="00737409" w:rsidRPr="00C932D8" w:rsidRDefault="00737409" w:rsidP="00CD1860">
            <w:pPr>
              <w:rPr>
                <w:rFonts w:asciiTheme="minorHAnsi" w:hAnsiTheme="minorHAnsi"/>
                <w:b/>
              </w:rPr>
            </w:pPr>
            <w:bookmarkStart w:id="9" w:name="_Toc327989803"/>
            <w:bookmarkStart w:id="10" w:name="_Toc328643979"/>
            <w:bookmarkStart w:id="11" w:name="_Toc328675757"/>
            <w:r w:rsidRPr="00C932D8">
              <w:rPr>
                <w:rFonts w:asciiTheme="minorHAnsi" w:hAnsiTheme="minorHAnsi"/>
                <w:b/>
              </w:rPr>
              <w:t>Name</w:t>
            </w:r>
            <w:bookmarkEnd w:id="9"/>
            <w:bookmarkEnd w:id="10"/>
            <w:bookmarkEnd w:id="11"/>
          </w:p>
        </w:tc>
        <w:tc>
          <w:tcPr>
            <w:tcW w:w="4218" w:type="dxa"/>
          </w:tcPr>
          <w:p w:rsidR="00737409" w:rsidRPr="00C932D8" w:rsidRDefault="00737409" w:rsidP="00CD1860">
            <w:pPr>
              <w:rPr>
                <w:rFonts w:asciiTheme="minorHAnsi" w:hAnsiTheme="minorHAnsi"/>
                <w:b/>
              </w:rPr>
            </w:pPr>
            <w:bookmarkStart w:id="12" w:name="_Toc327989804"/>
            <w:bookmarkStart w:id="13" w:name="_Toc328643980"/>
            <w:bookmarkStart w:id="14" w:name="_Toc328675758"/>
            <w:r w:rsidRPr="00C932D8">
              <w:rPr>
                <w:rFonts w:asciiTheme="minorHAnsi" w:hAnsiTheme="minorHAnsi"/>
                <w:b/>
              </w:rPr>
              <w:t>Role</w:t>
            </w:r>
            <w:bookmarkEnd w:id="12"/>
            <w:bookmarkEnd w:id="13"/>
            <w:bookmarkEnd w:id="14"/>
          </w:p>
        </w:tc>
        <w:tc>
          <w:tcPr>
            <w:tcW w:w="2430" w:type="dxa"/>
          </w:tcPr>
          <w:p w:rsidR="00737409" w:rsidRPr="00C932D8" w:rsidRDefault="00737409" w:rsidP="00CD1860">
            <w:pPr>
              <w:rPr>
                <w:rFonts w:asciiTheme="minorHAnsi" w:hAnsiTheme="minorHAnsi"/>
                <w:b/>
              </w:rPr>
            </w:pPr>
            <w:bookmarkStart w:id="15" w:name="_Toc327989805"/>
            <w:bookmarkStart w:id="16" w:name="_Toc328643981"/>
            <w:bookmarkStart w:id="17" w:name="_Toc328675759"/>
            <w:r w:rsidRPr="00C932D8">
              <w:rPr>
                <w:rFonts w:asciiTheme="minorHAnsi" w:hAnsiTheme="minorHAnsi"/>
                <w:b/>
              </w:rPr>
              <w:t>Date</w:t>
            </w:r>
            <w:bookmarkEnd w:id="15"/>
            <w:bookmarkEnd w:id="16"/>
            <w:bookmarkEnd w:id="17"/>
          </w:p>
        </w:tc>
      </w:tr>
      <w:tr w:rsidR="00737409" w:rsidRPr="00C932D8" w:rsidTr="00CD1860">
        <w:tc>
          <w:tcPr>
            <w:tcW w:w="3432" w:type="dxa"/>
          </w:tcPr>
          <w:p w:rsidR="00737409" w:rsidRPr="00EE11AE" w:rsidRDefault="00DE1BA2" w:rsidP="00420BFF">
            <w:pPr>
              <w:rPr>
                <w:rFonts w:asciiTheme="minorHAnsi" w:hAnsiTheme="minorHAnsi"/>
                <w:b/>
              </w:rPr>
            </w:pPr>
            <w:r>
              <w:rPr>
                <w:rFonts w:asciiTheme="minorHAnsi" w:hAnsiTheme="minorHAnsi"/>
                <w:b/>
              </w:rPr>
              <w:t>Annabelle Molina</w:t>
            </w:r>
          </w:p>
        </w:tc>
        <w:tc>
          <w:tcPr>
            <w:tcW w:w="4218" w:type="dxa"/>
          </w:tcPr>
          <w:p w:rsidR="00737409" w:rsidRPr="00EE11AE" w:rsidRDefault="002253BB" w:rsidP="00420BFF">
            <w:pPr>
              <w:rPr>
                <w:rFonts w:asciiTheme="minorHAnsi" w:hAnsiTheme="minorHAnsi"/>
                <w:b/>
              </w:rPr>
            </w:pPr>
            <w:r>
              <w:rPr>
                <w:rFonts w:asciiTheme="minorHAnsi" w:hAnsiTheme="minorHAnsi"/>
                <w:b/>
              </w:rPr>
              <w:t xml:space="preserve">ASET </w:t>
            </w:r>
            <w:r w:rsidR="00E818C0">
              <w:rPr>
                <w:rFonts w:asciiTheme="minorHAnsi" w:hAnsiTheme="minorHAnsi"/>
                <w:b/>
              </w:rPr>
              <w:t>EIC Program Manager</w:t>
            </w:r>
            <w:r w:rsidR="00DE1BA2">
              <w:rPr>
                <w:rFonts w:asciiTheme="minorHAnsi" w:hAnsiTheme="minorHAnsi"/>
                <w:b/>
              </w:rPr>
              <w:t>-Financial Analyst</w:t>
            </w:r>
          </w:p>
        </w:tc>
        <w:tc>
          <w:tcPr>
            <w:tcW w:w="2430" w:type="dxa"/>
          </w:tcPr>
          <w:p w:rsidR="00737409" w:rsidRPr="00EE11AE" w:rsidRDefault="00DE1BA2" w:rsidP="00CD1860">
            <w:pPr>
              <w:rPr>
                <w:rFonts w:asciiTheme="minorHAnsi" w:hAnsiTheme="minorHAnsi"/>
                <w:b/>
              </w:rPr>
            </w:pPr>
            <w:r>
              <w:rPr>
                <w:rFonts w:asciiTheme="minorHAnsi" w:hAnsiTheme="minorHAnsi"/>
                <w:b/>
              </w:rPr>
              <w:t>8</w:t>
            </w:r>
            <w:r w:rsidR="00E818C0">
              <w:rPr>
                <w:rFonts w:asciiTheme="minorHAnsi" w:hAnsiTheme="minorHAnsi"/>
                <w:b/>
              </w:rPr>
              <w:t>/</w:t>
            </w:r>
            <w:r>
              <w:rPr>
                <w:rFonts w:asciiTheme="minorHAnsi" w:hAnsiTheme="minorHAnsi"/>
                <w:b/>
              </w:rPr>
              <w:t>12</w:t>
            </w:r>
            <w:r w:rsidR="00E818C0">
              <w:rPr>
                <w:rFonts w:asciiTheme="minorHAnsi" w:hAnsiTheme="minorHAnsi"/>
                <w:b/>
              </w:rPr>
              <w:t>/2013</w:t>
            </w:r>
          </w:p>
        </w:tc>
      </w:tr>
      <w:tr w:rsidR="00B40F35" w:rsidRPr="00C932D8" w:rsidTr="00CD1860">
        <w:tc>
          <w:tcPr>
            <w:tcW w:w="3432" w:type="dxa"/>
          </w:tcPr>
          <w:p w:rsidR="00B40F35" w:rsidRPr="00EE11AE" w:rsidRDefault="00413956" w:rsidP="00CD1860">
            <w:pPr>
              <w:rPr>
                <w:rFonts w:asciiTheme="minorHAnsi" w:hAnsiTheme="minorHAnsi"/>
                <w:b/>
              </w:rPr>
            </w:pPr>
            <w:r>
              <w:rPr>
                <w:rFonts w:asciiTheme="minorHAnsi" w:hAnsiTheme="minorHAnsi"/>
                <w:b/>
              </w:rPr>
              <w:t>Connie Roberts</w:t>
            </w:r>
          </w:p>
        </w:tc>
        <w:tc>
          <w:tcPr>
            <w:tcW w:w="4218" w:type="dxa"/>
          </w:tcPr>
          <w:p w:rsidR="00B40F35" w:rsidRPr="00EE11AE" w:rsidRDefault="00413956" w:rsidP="00CD1860">
            <w:pPr>
              <w:rPr>
                <w:rFonts w:asciiTheme="minorHAnsi" w:hAnsiTheme="minorHAnsi"/>
                <w:b/>
              </w:rPr>
            </w:pPr>
            <w:r>
              <w:rPr>
                <w:rFonts w:asciiTheme="minorHAnsi" w:hAnsiTheme="minorHAnsi"/>
                <w:b/>
              </w:rPr>
              <w:t>Support Desk Manager</w:t>
            </w:r>
          </w:p>
        </w:tc>
        <w:tc>
          <w:tcPr>
            <w:tcW w:w="2430" w:type="dxa"/>
          </w:tcPr>
          <w:p w:rsidR="00B40F35" w:rsidRPr="00EE11AE" w:rsidRDefault="00DE1BA2" w:rsidP="00CD1860">
            <w:pPr>
              <w:rPr>
                <w:rFonts w:asciiTheme="minorHAnsi" w:hAnsiTheme="minorHAnsi"/>
                <w:b/>
              </w:rPr>
            </w:pPr>
            <w:r>
              <w:rPr>
                <w:rFonts w:asciiTheme="minorHAnsi" w:hAnsiTheme="minorHAnsi"/>
                <w:b/>
              </w:rPr>
              <w:t>8/12/2013</w:t>
            </w:r>
          </w:p>
        </w:tc>
      </w:tr>
      <w:tr w:rsidR="00E818C0" w:rsidRPr="00C932D8" w:rsidTr="00CD1860">
        <w:tc>
          <w:tcPr>
            <w:tcW w:w="3432" w:type="dxa"/>
          </w:tcPr>
          <w:p w:rsidR="00E818C0" w:rsidRPr="00EE11AE" w:rsidRDefault="00E818C0" w:rsidP="00CD1860">
            <w:pPr>
              <w:rPr>
                <w:rFonts w:asciiTheme="minorHAnsi" w:hAnsiTheme="minorHAnsi"/>
                <w:b/>
              </w:rPr>
            </w:pPr>
            <w:r>
              <w:rPr>
                <w:rFonts w:asciiTheme="minorHAnsi" w:hAnsiTheme="minorHAnsi"/>
                <w:b/>
              </w:rPr>
              <w:t>Diane Hinkle</w:t>
            </w:r>
          </w:p>
        </w:tc>
        <w:tc>
          <w:tcPr>
            <w:tcW w:w="4218" w:type="dxa"/>
          </w:tcPr>
          <w:p w:rsidR="00E818C0" w:rsidRPr="00EE11AE" w:rsidRDefault="00E818C0" w:rsidP="00CD1860">
            <w:pPr>
              <w:rPr>
                <w:rFonts w:asciiTheme="minorHAnsi" w:hAnsiTheme="minorHAnsi"/>
                <w:b/>
              </w:rPr>
            </w:pPr>
            <w:r>
              <w:rPr>
                <w:rFonts w:asciiTheme="minorHAnsi" w:hAnsiTheme="minorHAnsi"/>
                <w:b/>
              </w:rPr>
              <w:t>Telesoft</w:t>
            </w:r>
          </w:p>
        </w:tc>
        <w:tc>
          <w:tcPr>
            <w:tcW w:w="2430" w:type="dxa"/>
          </w:tcPr>
          <w:p w:rsidR="00E818C0" w:rsidRDefault="00DE1BA2" w:rsidP="00CD1860">
            <w:pPr>
              <w:rPr>
                <w:rFonts w:asciiTheme="minorHAnsi" w:hAnsiTheme="minorHAnsi"/>
                <w:b/>
              </w:rPr>
            </w:pPr>
            <w:r>
              <w:rPr>
                <w:rFonts w:asciiTheme="minorHAnsi" w:hAnsiTheme="minorHAnsi"/>
                <w:b/>
              </w:rPr>
              <w:t>8/12/2013</w:t>
            </w:r>
          </w:p>
        </w:tc>
      </w:tr>
    </w:tbl>
    <w:p w:rsidR="00B533BB" w:rsidRDefault="00B533BB" w:rsidP="00B533BB">
      <w:pPr>
        <w:ind w:left="180"/>
        <w:rPr>
          <w:b/>
        </w:rPr>
      </w:pPr>
    </w:p>
    <w:p w:rsidR="00B533BB" w:rsidRDefault="00B533BB" w:rsidP="00B533BB"/>
    <w:p w:rsidR="00ED6208" w:rsidRDefault="00ED6208" w:rsidP="00B533BB">
      <w:pPr>
        <w:pStyle w:val="Heading2"/>
      </w:pPr>
    </w:p>
    <w:p w:rsidR="00B533BB" w:rsidRDefault="00B533BB" w:rsidP="00B533BB">
      <w:pPr>
        <w:pStyle w:val="Heading2"/>
      </w:pPr>
      <w:r w:rsidRPr="00590EB2">
        <w:t>Purpose</w:t>
      </w:r>
    </w:p>
    <w:p w:rsidR="00B533BB" w:rsidRPr="00ED6208" w:rsidRDefault="00901684" w:rsidP="00ED6208">
      <w:pPr>
        <w:pStyle w:val="NoSpacing"/>
      </w:pPr>
      <w:r w:rsidRPr="00ED6208">
        <w:rPr>
          <w:szCs w:val="20"/>
        </w:rPr>
        <w:t xml:space="preserve">The following process steps are the required procedures for activities associated with AZNet II Billing Disputes. </w:t>
      </w:r>
      <w:r w:rsidR="00B533BB" w:rsidRPr="00ED6208">
        <w:t>The State of Ari</w:t>
      </w:r>
      <w:r w:rsidR="000E177C" w:rsidRPr="00ED6208">
        <w:t>zona agencies</w:t>
      </w:r>
      <w:r w:rsidRPr="00ED6208">
        <w:t xml:space="preserve"> are to perform</w:t>
      </w:r>
      <w:r w:rsidR="000E177C" w:rsidRPr="00ED6208">
        <w:t xml:space="preserve"> a </w:t>
      </w:r>
      <w:r w:rsidR="00B533BB" w:rsidRPr="00ED6208">
        <w:t>review of</w:t>
      </w:r>
      <w:r w:rsidRPr="00ED6208">
        <w:t xml:space="preserve"> their monthly invoice and are to adhere to the </w:t>
      </w:r>
      <w:r w:rsidR="00355770" w:rsidRPr="00ED6208">
        <w:t>specific time</w:t>
      </w:r>
      <w:r w:rsidRPr="00ED6208">
        <w:t xml:space="preserve"> parameter listed in</w:t>
      </w:r>
      <w:r w:rsidR="00B533BB" w:rsidRPr="00ED6208">
        <w:t xml:space="preserve"> the </w:t>
      </w:r>
      <w:r w:rsidR="00355770" w:rsidRPr="00ED6208">
        <w:t>Billing Dispute Policy communicated</w:t>
      </w:r>
      <w:r w:rsidR="00B533BB" w:rsidRPr="00ED6208">
        <w:t xml:space="preserve"> on July 26, 2013.  </w:t>
      </w:r>
      <w:r w:rsidR="00355770" w:rsidRPr="00ED6208">
        <w:t xml:space="preserve">If an agency identifies an incorrect charge in their invoice, the agency can dispute the charge by opening a request for information (RFI) ticket to Telesoft through the </w:t>
      </w:r>
      <w:r w:rsidR="002253BB">
        <w:t>AZNet Support Desk Level I State</w:t>
      </w:r>
      <w:r w:rsidR="00355770" w:rsidRPr="00ED6208">
        <w:t xml:space="preserve">. </w:t>
      </w:r>
      <w:r w:rsidR="00B533BB" w:rsidRPr="00ED6208">
        <w:t xml:space="preserve">Telesoft </w:t>
      </w:r>
      <w:r w:rsidR="00355770" w:rsidRPr="00ED6208">
        <w:t>will confirm and identify</w:t>
      </w:r>
      <w:r w:rsidR="00B533BB" w:rsidRPr="00ED6208">
        <w:t xml:space="preserve"> a potential billing dispute</w:t>
      </w:r>
      <w:r w:rsidR="00355770" w:rsidRPr="00ED6208">
        <w:t xml:space="preserve"> and send to AZNet II for additional research</w:t>
      </w:r>
      <w:r w:rsidR="00B533BB" w:rsidRPr="00ED6208">
        <w:t>.  AZNet II must complete research on a RFI ticket r</w:t>
      </w:r>
      <w:r w:rsidR="00355770" w:rsidRPr="00ED6208">
        <w:t>equest from Telesoft confirming or denying an adjustment if</w:t>
      </w:r>
      <w:r w:rsidR="00B533BB" w:rsidRPr="00ED6208">
        <w:t xml:space="preserve"> required on behalf of a State agency.  </w:t>
      </w:r>
      <w:r w:rsidR="00355770" w:rsidRPr="00ED6208">
        <w:t xml:space="preserve">Telesoft will communicate the result to the agency. </w:t>
      </w:r>
      <w:r w:rsidR="000E177C" w:rsidRPr="00ED6208">
        <w:t>AZNet II will create a MAC ticket task when applicable to affect each validated adj</w:t>
      </w:r>
      <w:r w:rsidR="00355770" w:rsidRPr="00ED6208">
        <w:t>ustment, resolve and pass to Telesoft</w:t>
      </w:r>
      <w:r w:rsidR="000E177C" w:rsidRPr="00ED6208">
        <w:t xml:space="preserve">. </w:t>
      </w:r>
      <w:r w:rsidR="00B533BB" w:rsidRPr="00ED6208">
        <w:t xml:space="preserve">AZNet II will communicate to the CTL Billing Team any adjustment that is required to be applied to a State agency. </w:t>
      </w:r>
    </w:p>
    <w:p w:rsidR="00B533BB" w:rsidRPr="00ED6208" w:rsidRDefault="00B533BB" w:rsidP="00ED6208">
      <w:pPr>
        <w:pStyle w:val="NoSpacing"/>
        <w:rPr>
          <w:rStyle w:val="Emphasis"/>
          <w:i w:val="0"/>
          <w:iCs w:val="0"/>
        </w:rPr>
      </w:pPr>
      <w:r w:rsidRPr="00ED6208">
        <w:rPr>
          <w:rStyle w:val="Emphasis"/>
          <w:i w:val="0"/>
          <w:iCs w:val="0"/>
        </w:rPr>
        <w:t xml:space="preserve">  </w:t>
      </w:r>
    </w:p>
    <w:p w:rsidR="00B533BB" w:rsidRPr="00B533BB" w:rsidRDefault="00B533BB" w:rsidP="00B533BB">
      <w:pPr>
        <w:pStyle w:val="Heading2"/>
        <w:rPr>
          <w:rStyle w:val="Emphasis"/>
          <w:bCs w:val="0"/>
          <w:i w:val="0"/>
          <w:smallCaps w:val="0"/>
        </w:rPr>
      </w:pPr>
      <w:r w:rsidRPr="00B533BB">
        <w:rPr>
          <w:rStyle w:val="Emphasis"/>
          <w:bCs w:val="0"/>
          <w:i w:val="0"/>
          <w:smallCaps w:val="0"/>
        </w:rPr>
        <w:t>Scope</w:t>
      </w:r>
    </w:p>
    <w:p w:rsidR="00B533BB" w:rsidRPr="00ED6208" w:rsidRDefault="00B533BB" w:rsidP="00ED6208">
      <w:pPr>
        <w:pStyle w:val="NoSpacing"/>
        <w:rPr>
          <w:szCs w:val="20"/>
        </w:rPr>
      </w:pPr>
      <w:r w:rsidRPr="00ED6208">
        <w:rPr>
          <w:szCs w:val="20"/>
        </w:rPr>
        <w:t xml:space="preserve">AZNet II </w:t>
      </w:r>
      <w:r w:rsidR="00355770" w:rsidRPr="00ED6208">
        <w:rPr>
          <w:szCs w:val="20"/>
        </w:rPr>
        <w:t>will research the</w:t>
      </w:r>
      <w:r w:rsidRPr="00ED6208">
        <w:rPr>
          <w:szCs w:val="20"/>
        </w:rPr>
        <w:t xml:space="preserve"> RFI ticket request from Telesoft confirming</w:t>
      </w:r>
      <w:r w:rsidR="00355770" w:rsidRPr="00ED6208">
        <w:rPr>
          <w:szCs w:val="20"/>
        </w:rPr>
        <w:t xml:space="preserve"> or denying</w:t>
      </w:r>
      <w:r w:rsidRPr="00ED6208">
        <w:rPr>
          <w:szCs w:val="20"/>
        </w:rPr>
        <w:t xml:space="preserve"> </w:t>
      </w:r>
      <w:r w:rsidR="00D87252">
        <w:rPr>
          <w:szCs w:val="20"/>
        </w:rPr>
        <w:t xml:space="preserve">if </w:t>
      </w:r>
      <w:r w:rsidRPr="00ED6208">
        <w:rPr>
          <w:szCs w:val="20"/>
        </w:rPr>
        <w:t>an adjustment might be required on behalf of a State agency after Telesoft confirms and identifies a potential billing dispute. AZNet II will communicate to the CTL Billing Team any adjustment that is required to be applied to a State agency.</w:t>
      </w:r>
      <w:r w:rsidR="00ED6208">
        <w:rPr>
          <w:szCs w:val="20"/>
        </w:rPr>
        <w:t xml:space="preserve"> </w:t>
      </w:r>
      <w:r w:rsidR="00ED6208" w:rsidRPr="001416F5">
        <w:rPr>
          <w:rFonts w:asciiTheme="minorHAnsi" w:hAnsiTheme="minorHAnsi"/>
        </w:rPr>
        <w:t>Any approved credits and/or debits resulting from the dispute shall post for only those disputed charges invoiced on the prior two billing cycles from the open date of the ticket, plus any incurred until the ticket is closed</w:t>
      </w:r>
      <w:r w:rsidR="00ED6208">
        <w:rPr>
          <w:rFonts w:asciiTheme="minorHAnsi" w:hAnsiTheme="minorHAnsi"/>
        </w:rPr>
        <w:t xml:space="preserve"> and Telesoft will communicate the outcome to the agency.</w:t>
      </w:r>
    </w:p>
    <w:p w:rsidR="00B533BB" w:rsidRPr="004F7AA0" w:rsidRDefault="00B533BB" w:rsidP="00B533BB">
      <w:pPr>
        <w:pStyle w:val="NoSpacing"/>
        <w:rPr>
          <w:rStyle w:val="Emphasis"/>
          <w:sz w:val="20"/>
          <w:szCs w:val="20"/>
        </w:rPr>
      </w:pPr>
      <w:r w:rsidRPr="004F7AA0">
        <w:rPr>
          <w:rStyle w:val="Emphasis"/>
          <w:sz w:val="20"/>
          <w:szCs w:val="20"/>
        </w:rPr>
        <w:t xml:space="preserve"> </w:t>
      </w:r>
    </w:p>
    <w:p w:rsidR="00B533BB" w:rsidRPr="006B1741" w:rsidRDefault="00B533BB" w:rsidP="00B533BB">
      <w:pPr>
        <w:pStyle w:val="Heading3"/>
        <w:rPr>
          <w:color w:val="000000"/>
        </w:rPr>
      </w:pPr>
      <w:r w:rsidRPr="00AD5AB8">
        <w:rPr>
          <w:color w:val="000000"/>
        </w:rPr>
        <w:t>Billing Dispute Process</w:t>
      </w:r>
    </w:p>
    <w:tbl>
      <w:tblPr>
        <w:tblStyle w:val="TableGrid"/>
        <w:tblW w:w="9990" w:type="dxa"/>
        <w:tblInd w:w="108" w:type="dxa"/>
        <w:tblCellMar>
          <w:top w:w="29" w:type="dxa"/>
          <w:left w:w="115" w:type="dxa"/>
          <w:bottom w:w="29" w:type="dxa"/>
          <w:right w:w="115" w:type="dxa"/>
        </w:tblCellMar>
        <w:tblLook w:val="01E0" w:firstRow="1" w:lastRow="1" w:firstColumn="1" w:lastColumn="1" w:noHBand="0" w:noVBand="0"/>
      </w:tblPr>
      <w:tblGrid>
        <w:gridCol w:w="650"/>
        <w:gridCol w:w="2146"/>
        <w:gridCol w:w="7187"/>
        <w:gridCol w:w="7"/>
      </w:tblGrid>
      <w:tr w:rsidR="00B533BB" w:rsidRPr="006B1741" w:rsidTr="008474FE">
        <w:trPr>
          <w:gridAfter w:val="1"/>
          <w:wAfter w:w="7" w:type="dxa"/>
        </w:trPr>
        <w:tc>
          <w:tcPr>
            <w:tcW w:w="650" w:type="dxa"/>
            <w:shd w:val="clear" w:color="auto" w:fill="4F81BD" w:themeFill="accent1"/>
          </w:tcPr>
          <w:p w:rsidR="00B533BB" w:rsidRPr="006B1741" w:rsidRDefault="00B533BB" w:rsidP="008474FE">
            <w:pPr>
              <w:pStyle w:val="Text"/>
              <w:numPr>
                <w:ilvl w:val="0"/>
                <w:numId w:val="0"/>
              </w:numPr>
              <w:rPr>
                <w:rFonts w:ascii="Arial" w:hAnsi="Arial" w:cs="Arial"/>
                <w:color w:val="FFFFFF" w:themeColor="background1"/>
                <w:sz w:val="18"/>
                <w:szCs w:val="18"/>
              </w:rPr>
            </w:pPr>
            <w:r w:rsidRPr="006B1741">
              <w:rPr>
                <w:rFonts w:ascii="Arial" w:hAnsi="Arial" w:cs="Arial"/>
                <w:color w:val="FFFFFF" w:themeColor="background1"/>
                <w:sz w:val="18"/>
                <w:szCs w:val="18"/>
              </w:rPr>
              <w:t>Step</w:t>
            </w:r>
          </w:p>
        </w:tc>
        <w:tc>
          <w:tcPr>
            <w:tcW w:w="2147" w:type="dxa"/>
            <w:shd w:val="clear" w:color="auto" w:fill="4F81BD" w:themeFill="accent1"/>
            <w:vAlign w:val="center"/>
          </w:tcPr>
          <w:p w:rsidR="00B533BB" w:rsidRPr="006B1741" w:rsidRDefault="00B533BB" w:rsidP="008474FE">
            <w:pPr>
              <w:pStyle w:val="Text"/>
              <w:numPr>
                <w:ilvl w:val="0"/>
                <w:numId w:val="0"/>
              </w:numPr>
              <w:rPr>
                <w:rFonts w:ascii="Arial" w:hAnsi="Arial" w:cs="Arial"/>
                <w:color w:val="FFFFFF" w:themeColor="background1"/>
                <w:sz w:val="18"/>
                <w:szCs w:val="18"/>
              </w:rPr>
            </w:pPr>
            <w:r w:rsidRPr="006B1741">
              <w:rPr>
                <w:rFonts w:ascii="Arial" w:hAnsi="Arial" w:cs="Arial"/>
                <w:color w:val="FFFFFF" w:themeColor="background1"/>
                <w:sz w:val="18"/>
                <w:szCs w:val="18"/>
              </w:rPr>
              <w:t>Responsibility</w:t>
            </w:r>
          </w:p>
        </w:tc>
        <w:tc>
          <w:tcPr>
            <w:tcW w:w="7193" w:type="dxa"/>
            <w:shd w:val="clear" w:color="auto" w:fill="4F81BD" w:themeFill="accent1"/>
          </w:tcPr>
          <w:p w:rsidR="00B533BB" w:rsidRPr="006B1741" w:rsidRDefault="00B533BB" w:rsidP="008474FE">
            <w:pPr>
              <w:pStyle w:val="Text"/>
              <w:numPr>
                <w:ilvl w:val="0"/>
                <w:numId w:val="0"/>
              </w:numPr>
              <w:rPr>
                <w:rFonts w:ascii="Arial" w:hAnsi="Arial" w:cs="Arial"/>
                <w:color w:val="FFFFFF" w:themeColor="background1"/>
                <w:sz w:val="18"/>
                <w:szCs w:val="18"/>
              </w:rPr>
            </w:pPr>
            <w:r w:rsidRPr="006B1741">
              <w:rPr>
                <w:rFonts w:ascii="Arial" w:hAnsi="Arial" w:cs="Arial"/>
                <w:color w:val="FFFFFF" w:themeColor="background1"/>
                <w:sz w:val="18"/>
                <w:szCs w:val="18"/>
              </w:rPr>
              <w:t>Action</w:t>
            </w:r>
          </w:p>
        </w:tc>
      </w:tr>
      <w:tr w:rsidR="00B533BB" w:rsidRPr="003F2CF8" w:rsidTr="008474FE">
        <w:tblPrEx>
          <w:tblCellMar>
            <w:top w:w="0" w:type="dxa"/>
            <w:left w:w="108" w:type="dxa"/>
            <w:bottom w:w="0" w:type="dxa"/>
            <w:right w:w="108" w:type="dxa"/>
          </w:tblCellMar>
          <w:tblLook w:val="04A0" w:firstRow="1" w:lastRow="0" w:firstColumn="1" w:lastColumn="0" w:noHBand="0" w:noVBand="1"/>
        </w:tblPrEx>
        <w:tc>
          <w:tcPr>
            <w:tcW w:w="650" w:type="dxa"/>
          </w:tcPr>
          <w:p w:rsidR="00B533BB" w:rsidRPr="004F7AA0" w:rsidRDefault="00B533BB" w:rsidP="00D62EDA">
            <w:pPr>
              <w:rPr>
                <w:rFonts w:cs="Arial"/>
                <w:color w:val="000000"/>
                <w:szCs w:val="20"/>
              </w:rPr>
            </w:pPr>
            <w:r w:rsidRPr="004F7AA0">
              <w:rPr>
                <w:rFonts w:cs="Arial"/>
                <w:color w:val="000000"/>
                <w:szCs w:val="20"/>
              </w:rPr>
              <w:t>1</w:t>
            </w:r>
          </w:p>
        </w:tc>
        <w:tc>
          <w:tcPr>
            <w:tcW w:w="2147" w:type="dxa"/>
          </w:tcPr>
          <w:p w:rsidR="00B533BB" w:rsidRPr="00D62EDA" w:rsidRDefault="002253BB" w:rsidP="00D62EDA">
            <w:pPr>
              <w:rPr>
                <w:rFonts w:cs="Arial"/>
                <w:color w:val="000000"/>
                <w:szCs w:val="20"/>
              </w:rPr>
            </w:pPr>
            <w:r>
              <w:rPr>
                <w:rFonts w:cs="Arial"/>
                <w:color w:val="000000"/>
                <w:szCs w:val="20"/>
              </w:rPr>
              <w:t xml:space="preserve">ASET </w:t>
            </w:r>
            <w:r w:rsidR="00B533BB" w:rsidRPr="00D62EDA">
              <w:rPr>
                <w:rFonts w:cs="Arial"/>
                <w:color w:val="000000"/>
                <w:szCs w:val="20"/>
              </w:rPr>
              <w:t>EIC, AZNet II, Telesoft or the State Agency</w:t>
            </w:r>
          </w:p>
        </w:tc>
        <w:tc>
          <w:tcPr>
            <w:tcW w:w="7193" w:type="dxa"/>
            <w:gridSpan w:val="2"/>
          </w:tcPr>
          <w:p w:rsidR="00B533BB" w:rsidRPr="00ED6208" w:rsidRDefault="00B533BB" w:rsidP="00D87252">
            <w:pPr>
              <w:rPr>
                <w:rFonts w:cs="Arial"/>
                <w:color w:val="000000"/>
                <w:sz w:val="18"/>
                <w:szCs w:val="18"/>
              </w:rPr>
            </w:pPr>
            <w:r w:rsidRPr="000D6A37">
              <w:rPr>
                <w:sz w:val="18"/>
                <w:szCs w:val="18"/>
              </w:rPr>
              <w:t>submits a billing dispute based on their findings on the invoice</w:t>
            </w:r>
            <w:r w:rsidR="00D87252" w:rsidRPr="000D6A37">
              <w:rPr>
                <w:sz w:val="18"/>
                <w:szCs w:val="18"/>
              </w:rPr>
              <w:t xml:space="preserve"> by opening a request for information (RFI) ticket</w:t>
            </w:r>
            <w:r w:rsidR="00D87252" w:rsidRPr="00ED6208">
              <w:t xml:space="preserve"> </w:t>
            </w:r>
          </w:p>
        </w:tc>
      </w:tr>
      <w:tr w:rsidR="00B533BB" w:rsidRPr="003F2CF8" w:rsidTr="008474FE">
        <w:tblPrEx>
          <w:tblCellMar>
            <w:top w:w="0" w:type="dxa"/>
            <w:left w:w="108" w:type="dxa"/>
            <w:bottom w:w="0" w:type="dxa"/>
            <w:right w:w="108" w:type="dxa"/>
          </w:tblCellMar>
          <w:tblLook w:val="04A0" w:firstRow="1" w:lastRow="0" w:firstColumn="1" w:lastColumn="0" w:noHBand="0" w:noVBand="1"/>
        </w:tblPrEx>
        <w:tc>
          <w:tcPr>
            <w:tcW w:w="650" w:type="dxa"/>
          </w:tcPr>
          <w:p w:rsidR="00B533BB" w:rsidRPr="004F7AA0" w:rsidRDefault="00B533BB" w:rsidP="00D62EDA">
            <w:pPr>
              <w:rPr>
                <w:rFonts w:cs="Arial"/>
                <w:color w:val="000000"/>
                <w:szCs w:val="20"/>
              </w:rPr>
            </w:pPr>
            <w:r w:rsidRPr="004F7AA0">
              <w:rPr>
                <w:rFonts w:cs="Arial"/>
                <w:color w:val="000000"/>
                <w:szCs w:val="20"/>
              </w:rPr>
              <w:t>2</w:t>
            </w:r>
          </w:p>
        </w:tc>
        <w:tc>
          <w:tcPr>
            <w:tcW w:w="2147" w:type="dxa"/>
          </w:tcPr>
          <w:p w:rsidR="00B533BB" w:rsidRPr="00D62EDA" w:rsidRDefault="00B533BB" w:rsidP="00D62EDA">
            <w:pPr>
              <w:rPr>
                <w:rFonts w:cs="Arial"/>
                <w:color w:val="000000"/>
                <w:szCs w:val="20"/>
              </w:rPr>
            </w:pPr>
            <w:r w:rsidRPr="00D62EDA">
              <w:rPr>
                <w:rFonts w:cs="Arial"/>
                <w:color w:val="000000"/>
                <w:szCs w:val="20"/>
              </w:rPr>
              <w:t>Telesoft</w:t>
            </w:r>
          </w:p>
        </w:tc>
        <w:tc>
          <w:tcPr>
            <w:tcW w:w="7193" w:type="dxa"/>
            <w:gridSpan w:val="2"/>
          </w:tcPr>
          <w:p w:rsidR="00B533BB" w:rsidRPr="00D62EDA" w:rsidRDefault="00B533BB" w:rsidP="008474FE">
            <w:pPr>
              <w:rPr>
                <w:sz w:val="18"/>
                <w:szCs w:val="18"/>
              </w:rPr>
            </w:pPr>
            <w:r w:rsidRPr="00ED6208">
              <w:rPr>
                <w:sz w:val="18"/>
                <w:szCs w:val="18"/>
              </w:rPr>
              <w:t xml:space="preserve">Receives billing dispute via a Remedy RFI ticket from the AZNet </w:t>
            </w:r>
            <w:r w:rsidR="002253BB">
              <w:rPr>
                <w:sz w:val="18"/>
                <w:szCs w:val="18"/>
              </w:rPr>
              <w:t>Support Desk Level I State</w:t>
            </w:r>
          </w:p>
          <w:p w:rsidR="00B533BB" w:rsidRPr="00ED6208" w:rsidRDefault="00B533BB" w:rsidP="004F7AA0">
            <w:pPr>
              <w:pStyle w:val="ListParagraph"/>
              <w:numPr>
                <w:ilvl w:val="0"/>
                <w:numId w:val="25"/>
              </w:numPr>
              <w:spacing w:after="200" w:line="276" w:lineRule="auto"/>
              <w:rPr>
                <w:rFonts w:ascii="Calibri" w:hAnsi="Calibri" w:cs="Arial"/>
                <w:color w:val="000000"/>
                <w:sz w:val="18"/>
                <w:szCs w:val="18"/>
              </w:rPr>
            </w:pPr>
            <w:r w:rsidRPr="00ED6208">
              <w:rPr>
                <w:rFonts w:ascii="Calibri" w:hAnsi="Calibri" w:cs="Arial"/>
                <w:color w:val="000000"/>
                <w:sz w:val="18"/>
                <w:szCs w:val="18"/>
              </w:rPr>
              <w:t xml:space="preserve">Performs an initial review and research on RFI ticket, updates the ticket in the work log with any applicable billing changes or additional research that is required to make a decision on the dispute. </w:t>
            </w:r>
          </w:p>
          <w:p w:rsidR="00D87252" w:rsidRPr="001930A0" w:rsidRDefault="00D87252" w:rsidP="00D87252">
            <w:pPr>
              <w:pStyle w:val="ListParagraph"/>
              <w:numPr>
                <w:ilvl w:val="0"/>
                <w:numId w:val="25"/>
              </w:numPr>
              <w:spacing w:after="200" w:line="276" w:lineRule="auto"/>
              <w:ind w:right="0"/>
              <w:contextualSpacing w:val="0"/>
              <w:rPr>
                <w:rFonts w:ascii="Calibri" w:hAnsi="Calibri" w:cs="Arial"/>
                <w:color w:val="000000"/>
                <w:sz w:val="18"/>
                <w:szCs w:val="18"/>
              </w:rPr>
            </w:pPr>
            <w:r w:rsidRPr="000D6A37">
              <w:rPr>
                <w:rFonts w:ascii="Calibri" w:hAnsi="Calibri" w:cs="Arial"/>
                <w:color w:val="000000"/>
                <w:sz w:val="18"/>
                <w:szCs w:val="18"/>
              </w:rPr>
              <w:t>Telesoft will confirm and identify a potential billing dispute and send to AZNet II for additional research.</w:t>
            </w:r>
          </w:p>
          <w:p w:rsidR="00B533BB" w:rsidRPr="00ED6208" w:rsidRDefault="00B533BB" w:rsidP="004F7AA0">
            <w:pPr>
              <w:pStyle w:val="ListParagraph"/>
              <w:numPr>
                <w:ilvl w:val="0"/>
                <w:numId w:val="25"/>
              </w:numPr>
              <w:spacing w:after="200" w:line="276" w:lineRule="auto"/>
              <w:rPr>
                <w:rFonts w:ascii="Calibri" w:hAnsi="Calibri" w:cs="Arial"/>
                <w:color w:val="000000"/>
                <w:sz w:val="18"/>
                <w:szCs w:val="18"/>
              </w:rPr>
            </w:pPr>
            <w:r w:rsidRPr="00ED6208">
              <w:rPr>
                <w:rFonts w:ascii="Calibri" w:hAnsi="Calibri" w:cs="Arial"/>
                <w:color w:val="000000"/>
                <w:sz w:val="18"/>
                <w:szCs w:val="18"/>
              </w:rPr>
              <w:t>Attaches supporting documentation under the support tab on the RFI ticket</w:t>
            </w:r>
          </w:p>
          <w:p w:rsidR="00B533BB" w:rsidRPr="00ED6208" w:rsidRDefault="00B533BB" w:rsidP="008474FE">
            <w:pPr>
              <w:pStyle w:val="ListParagraph"/>
              <w:numPr>
                <w:ilvl w:val="0"/>
                <w:numId w:val="25"/>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Assigns RFI ticket to AZNet II Service Desk.</w:t>
            </w:r>
          </w:p>
        </w:tc>
      </w:tr>
      <w:tr w:rsidR="00B533BB" w:rsidRPr="003F2CF8" w:rsidTr="008474FE">
        <w:tblPrEx>
          <w:tblCellMar>
            <w:top w:w="0" w:type="dxa"/>
            <w:left w:w="108" w:type="dxa"/>
            <w:bottom w:w="0" w:type="dxa"/>
            <w:right w:w="108" w:type="dxa"/>
          </w:tblCellMar>
          <w:tblLook w:val="04A0" w:firstRow="1" w:lastRow="0" w:firstColumn="1" w:lastColumn="0" w:noHBand="0" w:noVBand="1"/>
        </w:tblPrEx>
        <w:trPr>
          <w:trHeight w:val="611"/>
        </w:trPr>
        <w:tc>
          <w:tcPr>
            <w:tcW w:w="650" w:type="dxa"/>
          </w:tcPr>
          <w:p w:rsidR="00B533BB" w:rsidRPr="004F7AA0" w:rsidRDefault="00B533BB" w:rsidP="00D62EDA">
            <w:pPr>
              <w:rPr>
                <w:rFonts w:cs="Arial"/>
                <w:color w:val="000000"/>
                <w:szCs w:val="20"/>
              </w:rPr>
            </w:pPr>
            <w:r w:rsidRPr="004F7AA0">
              <w:rPr>
                <w:rFonts w:cs="Arial"/>
                <w:color w:val="000000"/>
                <w:szCs w:val="20"/>
              </w:rPr>
              <w:t>3</w:t>
            </w:r>
          </w:p>
        </w:tc>
        <w:tc>
          <w:tcPr>
            <w:tcW w:w="2147" w:type="dxa"/>
          </w:tcPr>
          <w:p w:rsidR="00B533BB" w:rsidRPr="00D62EDA" w:rsidRDefault="00B533BB" w:rsidP="00D62EDA">
            <w:pPr>
              <w:rPr>
                <w:rFonts w:cs="Arial"/>
                <w:color w:val="000000"/>
                <w:szCs w:val="20"/>
              </w:rPr>
            </w:pPr>
            <w:r w:rsidRPr="00D62EDA">
              <w:rPr>
                <w:rFonts w:cs="Arial"/>
                <w:color w:val="000000"/>
                <w:szCs w:val="20"/>
              </w:rPr>
              <w:t>AZNet II Service Desk Analyst</w:t>
            </w:r>
          </w:p>
        </w:tc>
        <w:tc>
          <w:tcPr>
            <w:tcW w:w="7193" w:type="dxa"/>
            <w:gridSpan w:val="2"/>
          </w:tcPr>
          <w:p w:rsidR="00B533BB" w:rsidRPr="00ED6208" w:rsidRDefault="00B533BB" w:rsidP="008474FE">
            <w:pPr>
              <w:rPr>
                <w:rFonts w:cs="Arial"/>
                <w:color w:val="000000"/>
                <w:sz w:val="18"/>
                <w:szCs w:val="18"/>
              </w:rPr>
            </w:pPr>
            <w:r w:rsidRPr="00ED6208">
              <w:rPr>
                <w:rFonts w:cs="Arial"/>
                <w:color w:val="000000"/>
                <w:sz w:val="18"/>
                <w:szCs w:val="18"/>
              </w:rPr>
              <w:t>Receives RFI billing dispute ticket and re-assigns to the AZNet II Billing Team as applicable</w:t>
            </w:r>
          </w:p>
        </w:tc>
      </w:tr>
      <w:tr w:rsidR="00A62C32" w:rsidRPr="003F2CF8" w:rsidTr="008474FE">
        <w:tblPrEx>
          <w:tblCellMar>
            <w:top w:w="0" w:type="dxa"/>
            <w:left w:w="108" w:type="dxa"/>
            <w:bottom w:w="0" w:type="dxa"/>
            <w:right w:w="108" w:type="dxa"/>
          </w:tblCellMar>
          <w:tblLook w:val="04A0" w:firstRow="1" w:lastRow="0" w:firstColumn="1" w:lastColumn="0" w:noHBand="0" w:noVBand="1"/>
        </w:tblPrEx>
        <w:trPr>
          <w:trHeight w:val="611"/>
        </w:trPr>
        <w:tc>
          <w:tcPr>
            <w:tcW w:w="650" w:type="dxa"/>
          </w:tcPr>
          <w:p w:rsidR="00A62C32" w:rsidRPr="004F7AA0" w:rsidRDefault="00A62C32" w:rsidP="00D62EDA">
            <w:pPr>
              <w:rPr>
                <w:rFonts w:cs="Arial"/>
                <w:color w:val="000000"/>
                <w:szCs w:val="20"/>
              </w:rPr>
            </w:pPr>
            <w:r w:rsidRPr="004F7AA0">
              <w:rPr>
                <w:rFonts w:cs="Arial"/>
                <w:color w:val="000000"/>
                <w:szCs w:val="20"/>
              </w:rPr>
              <w:t>4</w:t>
            </w: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D62EDA" w:rsidRDefault="00D62EDA" w:rsidP="00D62EDA">
            <w:pPr>
              <w:rPr>
                <w:rFonts w:cs="Arial"/>
                <w:color w:val="000000"/>
                <w:szCs w:val="20"/>
              </w:rPr>
            </w:pPr>
          </w:p>
          <w:p w:rsidR="00D62EDA" w:rsidRDefault="00D62EDA" w:rsidP="00D62EDA">
            <w:pPr>
              <w:rPr>
                <w:rFonts w:cs="Arial"/>
                <w:color w:val="000000"/>
                <w:szCs w:val="20"/>
              </w:rPr>
            </w:pPr>
          </w:p>
          <w:p w:rsidR="00A62C32" w:rsidRPr="004F7AA0" w:rsidRDefault="00A62C32" w:rsidP="00D62EDA">
            <w:pPr>
              <w:rPr>
                <w:rFonts w:cs="Arial"/>
                <w:color w:val="000000"/>
                <w:szCs w:val="20"/>
              </w:rPr>
            </w:pPr>
            <w:r w:rsidRPr="004F7AA0">
              <w:rPr>
                <w:rFonts w:cs="Arial"/>
                <w:color w:val="000000"/>
                <w:szCs w:val="20"/>
              </w:rPr>
              <w:t>4</w:t>
            </w: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p>
          <w:p w:rsidR="00A62C32" w:rsidRPr="004F7AA0" w:rsidRDefault="00A62C32" w:rsidP="00D62EDA">
            <w:pPr>
              <w:rPr>
                <w:rFonts w:cs="Arial"/>
                <w:color w:val="000000"/>
                <w:szCs w:val="20"/>
              </w:rPr>
            </w:pPr>
            <w:r w:rsidRPr="004F7AA0">
              <w:rPr>
                <w:rFonts w:cs="Arial"/>
                <w:color w:val="000000"/>
                <w:szCs w:val="20"/>
              </w:rPr>
              <w:t>4</w:t>
            </w:r>
          </w:p>
        </w:tc>
        <w:tc>
          <w:tcPr>
            <w:tcW w:w="2147" w:type="dxa"/>
          </w:tcPr>
          <w:p w:rsidR="00A62C32" w:rsidRPr="00D62EDA" w:rsidRDefault="00A62C32" w:rsidP="00D62EDA">
            <w:pPr>
              <w:rPr>
                <w:rFonts w:cs="Arial"/>
                <w:color w:val="000000"/>
                <w:szCs w:val="20"/>
              </w:rPr>
            </w:pPr>
            <w:r w:rsidRPr="00D62EDA">
              <w:rPr>
                <w:rFonts w:cs="Arial"/>
                <w:color w:val="000000"/>
                <w:szCs w:val="20"/>
              </w:rPr>
              <w:t>AZNet II Billing Project Analyst</w:t>
            </w: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Default="002804CE" w:rsidP="00D62EDA">
            <w:pPr>
              <w:rPr>
                <w:rFonts w:cs="Arial"/>
                <w:color w:val="000000"/>
                <w:szCs w:val="20"/>
              </w:rPr>
            </w:pPr>
            <w:proofErr w:type="spellStart"/>
            <w:r>
              <w:rPr>
                <w:rFonts w:cs="Arial"/>
                <w:color w:val="000000"/>
                <w:szCs w:val="20"/>
              </w:rPr>
              <w:t>Cont</w:t>
            </w:r>
            <w:proofErr w:type="spellEnd"/>
            <w:r>
              <w:rPr>
                <w:rFonts w:cs="Arial"/>
                <w:color w:val="000000"/>
                <w:szCs w:val="20"/>
              </w:rPr>
              <w:t>’</w:t>
            </w:r>
          </w:p>
          <w:p w:rsidR="002804CE" w:rsidRPr="00D62EDA" w:rsidRDefault="002804CE" w:rsidP="002804CE">
            <w:pPr>
              <w:rPr>
                <w:rFonts w:cs="Arial"/>
                <w:color w:val="000000"/>
                <w:szCs w:val="20"/>
              </w:rPr>
            </w:pPr>
            <w:r w:rsidRPr="00D62EDA">
              <w:rPr>
                <w:rFonts w:cs="Arial"/>
                <w:color w:val="000000"/>
                <w:szCs w:val="20"/>
              </w:rPr>
              <w:t>AZNet II Billing Project Analyst</w:t>
            </w:r>
          </w:p>
          <w:p w:rsidR="002804CE" w:rsidRPr="00D62EDA" w:rsidRDefault="002804CE"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A62C32" w:rsidRPr="00D62EDA" w:rsidRDefault="00A62C32" w:rsidP="00D62EDA">
            <w:pPr>
              <w:rPr>
                <w:rFonts w:cs="Arial"/>
                <w:color w:val="000000"/>
                <w:szCs w:val="20"/>
              </w:rPr>
            </w:pPr>
          </w:p>
          <w:p w:rsidR="002804CE" w:rsidRDefault="002804CE" w:rsidP="00D62EDA">
            <w:pPr>
              <w:rPr>
                <w:rFonts w:cs="Arial"/>
                <w:color w:val="000000"/>
                <w:szCs w:val="20"/>
              </w:rPr>
            </w:pPr>
          </w:p>
          <w:p w:rsidR="002804CE" w:rsidRDefault="002804CE" w:rsidP="00D62EDA">
            <w:pPr>
              <w:rPr>
                <w:rFonts w:cs="Arial"/>
                <w:color w:val="000000"/>
                <w:szCs w:val="20"/>
              </w:rPr>
            </w:pPr>
          </w:p>
          <w:p w:rsidR="002804CE" w:rsidRDefault="002804CE" w:rsidP="00D62EDA">
            <w:pPr>
              <w:rPr>
                <w:rFonts w:cs="Arial"/>
                <w:color w:val="000000"/>
                <w:szCs w:val="20"/>
              </w:rPr>
            </w:pPr>
          </w:p>
          <w:p w:rsidR="002804CE" w:rsidRDefault="002804CE" w:rsidP="00D62EDA">
            <w:pPr>
              <w:rPr>
                <w:rFonts w:cs="Arial"/>
                <w:color w:val="000000"/>
                <w:szCs w:val="20"/>
              </w:rPr>
            </w:pPr>
          </w:p>
          <w:p w:rsidR="002804CE" w:rsidRDefault="002804CE" w:rsidP="00D62EDA">
            <w:pPr>
              <w:rPr>
                <w:rFonts w:cs="Arial"/>
                <w:color w:val="000000"/>
                <w:szCs w:val="20"/>
              </w:rPr>
            </w:pPr>
          </w:p>
          <w:p w:rsidR="002804CE" w:rsidRDefault="002804CE" w:rsidP="00D62EDA">
            <w:pPr>
              <w:rPr>
                <w:rFonts w:cs="Arial"/>
                <w:color w:val="000000"/>
                <w:szCs w:val="20"/>
              </w:rPr>
            </w:pPr>
          </w:p>
          <w:p w:rsidR="00A62C32" w:rsidRPr="00D62EDA" w:rsidRDefault="00A62C32" w:rsidP="00D62EDA">
            <w:pPr>
              <w:rPr>
                <w:rFonts w:cs="Arial"/>
                <w:color w:val="000000"/>
                <w:szCs w:val="20"/>
              </w:rPr>
            </w:pPr>
            <w:proofErr w:type="spellStart"/>
            <w:r w:rsidRPr="00D62EDA">
              <w:rPr>
                <w:rFonts w:cs="Arial"/>
                <w:color w:val="000000"/>
                <w:szCs w:val="20"/>
              </w:rPr>
              <w:t>Cont</w:t>
            </w:r>
            <w:proofErr w:type="spellEnd"/>
            <w:r w:rsidRPr="00D62EDA">
              <w:rPr>
                <w:rFonts w:cs="Arial"/>
                <w:color w:val="000000"/>
                <w:szCs w:val="20"/>
              </w:rPr>
              <w:t xml:space="preserve">’ </w:t>
            </w:r>
          </w:p>
          <w:p w:rsidR="00A62C32" w:rsidRPr="00D62EDA" w:rsidRDefault="00A62C32" w:rsidP="00D62EDA">
            <w:pPr>
              <w:rPr>
                <w:rFonts w:cs="Arial"/>
                <w:color w:val="000000"/>
                <w:szCs w:val="20"/>
              </w:rPr>
            </w:pPr>
            <w:r w:rsidRPr="00D62EDA">
              <w:rPr>
                <w:rFonts w:cs="Arial"/>
                <w:color w:val="000000"/>
                <w:szCs w:val="20"/>
              </w:rPr>
              <w:t>AZNet II Billing Project Analyst</w:t>
            </w:r>
          </w:p>
        </w:tc>
        <w:tc>
          <w:tcPr>
            <w:tcW w:w="7193" w:type="dxa"/>
            <w:gridSpan w:val="2"/>
          </w:tcPr>
          <w:p w:rsidR="00A62C32" w:rsidRPr="00ED6208" w:rsidRDefault="00A62C32" w:rsidP="008474FE">
            <w:pPr>
              <w:rPr>
                <w:rFonts w:cs="Arial"/>
                <w:color w:val="000000"/>
                <w:sz w:val="18"/>
                <w:szCs w:val="18"/>
              </w:rPr>
            </w:pPr>
            <w:r w:rsidRPr="00ED6208">
              <w:rPr>
                <w:rFonts w:cs="Arial"/>
                <w:color w:val="000000"/>
                <w:sz w:val="18"/>
                <w:szCs w:val="18"/>
              </w:rPr>
              <w:t>Completes the following research to validate dispute:</w:t>
            </w:r>
          </w:p>
          <w:p w:rsidR="00A62C32" w:rsidRPr="00D62EDA" w:rsidRDefault="00A62C32" w:rsidP="00D62EDA">
            <w:pPr>
              <w:pStyle w:val="ListParagraph"/>
              <w:numPr>
                <w:ilvl w:val="0"/>
                <w:numId w:val="24"/>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Review  RFI summary</w:t>
            </w:r>
            <w:r w:rsidR="00D62EDA">
              <w:rPr>
                <w:rFonts w:ascii="Calibri" w:hAnsi="Calibri" w:cs="Arial"/>
                <w:color w:val="000000"/>
                <w:sz w:val="18"/>
                <w:szCs w:val="18"/>
              </w:rPr>
              <w:t xml:space="preserve">, </w:t>
            </w:r>
            <w:r w:rsidRPr="00D62EDA">
              <w:rPr>
                <w:rFonts w:ascii="Calibri" w:hAnsi="Calibri" w:cs="Arial"/>
                <w:color w:val="000000"/>
                <w:sz w:val="18"/>
                <w:szCs w:val="18"/>
              </w:rPr>
              <w:t>Review work log for prior notes regarding communication to/from agency and TEM</w:t>
            </w:r>
          </w:p>
          <w:p w:rsidR="00A62C32" w:rsidRPr="00D62EDA" w:rsidRDefault="00A62C32" w:rsidP="00D62EDA">
            <w:pPr>
              <w:pStyle w:val="ListParagraph"/>
              <w:numPr>
                <w:ilvl w:val="0"/>
                <w:numId w:val="24"/>
              </w:numPr>
              <w:spacing w:after="200" w:line="276" w:lineRule="auto"/>
              <w:ind w:right="0"/>
              <w:contextualSpacing w:val="0"/>
              <w:rPr>
                <w:rFonts w:ascii="Calibri" w:hAnsi="Calibri" w:cs="Arial"/>
                <w:color w:val="000000"/>
                <w:sz w:val="18"/>
                <w:szCs w:val="18"/>
              </w:rPr>
            </w:pPr>
            <w:r w:rsidRPr="00D62EDA">
              <w:rPr>
                <w:rFonts w:ascii="Calibri" w:hAnsi="Calibri" w:cs="Arial"/>
                <w:color w:val="000000"/>
                <w:sz w:val="18"/>
                <w:szCs w:val="18"/>
              </w:rPr>
              <w:t>Open support doc under</w:t>
            </w:r>
            <w:r w:rsidR="00D62EDA" w:rsidRPr="00D62EDA">
              <w:rPr>
                <w:rFonts w:ascii="Calibri" w:hAnsi="Calibri" w:cs="Arial"/>
                <w:color w:val="000000"/>
                <w:sz w:val="18"/>
                <w:szCs w:val="18"/>
              </w:rPr>
              <w:t xml:space="preserve"> Work Log section </w:t>
            </w:r>
            <w:r w:rsidRPr="00D62EDA">
              <w:rPr>
                <w:rFonts w:ascii="Calibri" w:hAnsi="Calibri" w:cs="Arial"/>
                <w:color w:val="000000"/>
                <w:sz w:val="18"/>
                <w:szCs w:val="18"/>
              </w:rPr>
              <w:t>and review CBR Billing Data report. Validate DN # to summary to ensure the same seat data in ticket is the same seat data in CBR Billing Report.</w:t>
            </w:r>
          </w:p>
          <w:p w:rsidR="007377D1" w:rsidRPr="00ED6208" w:rsidRDefault="00A62C32" w:rsidP="007377D1">
            <w:pPr>
              <w:pStyle w:val="ListParagraph"/>
              <w:numPr>
                <w:ilvl w:val="0"/>
                <w:numId w:val="24"/>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Open  Telesoft system to confirm actual seat is active and billing</w:t>
            </w:r>
          </w:p>
          <w:p w:rsidR="00A62C32" w:rsidRPr="00ED6208" w:rsidRDefault="00A62C32" w:rsidP="007377D1">
            <w:pPr>
              <w:pStyle w:val="ListParagraph"/>
              <w:numPr>
                <w:ilvl w:val="0"/>
                <w:numId w:val="24"/>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Confirm CMDB and TEM attributes match in inventory</w:t>
            </w:r>
          </w:p>
          <w:p w:rsidR="00A62C32" w:rsidRPr="00ED6208" w:rsidRDefault="00A62C32" w:rsidP="00B533BB">
            <w:pPr>
              <w:pStyle w:val="ListParagraph"/>
              <w:numPr>
                <w:ilvl w:val="0"/>
                <w:numId w:val="24"/>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 xml:space="preserve">Select  the seat in TEM that you are reviewing as the potential disputed seat and select the small box under the tab of (profile) </w:t>
            </w:r>
          </w:p>
          <w:p w:rsidR="00A62C32" w:rsidRPr="00ED6208" w:rsidRDefault="00A62C32" w:rsidP="00B533BB">
            <w:pPr>
              <w:pStyle w:val="ListParagraph"/>
              <w:numPr>
                <w:ilvl w:val="0"/>
                <w:numId w:val="24"/>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Under Cost Center  select (Notes) to identify any related tickets to the same seat in dispute</w:t>
            </w:r>
          </w:p>
          <w:p w:rsidR="00A62C32" w:rsidRPr="00ED6208" w:rsidRDefault="00A62C32" w:rsidP="00B533BB">
            <w:pPr>
              <w:pStyle w:val="ListParagraph"/>
              <w:numPr>
                <w:ilvl w:val="0"/>
                <w:numId w:val="24"/>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Repeat #6- Scroll to REC Charges, verify the DN in dispute is actually billing</w:t>
            </w:r>
          </w:p>
          <w:p w:rsidR="00A62C32" w:rsidRPr="00ED6208" w:rsidRDefault="00A62C32" w:rsidP="00B533BB">
            <w:pPr>
              <w:pStyle w:val="ListParagraph"/>
              <w:numPr>
                <w:ilvl w:val="0"/>
                <w:numId w:val="24"/>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Determine action is required in dispute, on RFI select  Duplicate Ticket button, flip ticket type from RFI to MAC, clear Primary Requester data, enter Diane Hinkle, auto populate. Confirm correct Site code (save)</w:t>
            </w:r>
          </w:p>
          <w:p w:rsidR="00A62C32" w:rsidRPr="00ED6208" w:rsidRDefault="00A62C32" w:rsidP="00B533BB">
            <w:pPr>
              <w:pStyle w:val="ListParagraph"/>
              <w:numPr>
                <w:ilvl w:val="0"/>
                <w:numId w:val="24"/>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Select drop down in Status to “Assigned”, select person in Individual Assigned To section, (save)</w:t>
            </w:r>
          </w:p>
          <w:p w:rsidR="00A62C32" w:rsidRPr="00ED6208" w:rsidRDefault="00A62C32" w:rsidP="00B533BB">
            <w:pPr>
              <w:pStyle w:val="ListParagraph"/>
              <w:numPr>
                <w:ilvl w:val="0"/>
                <w:numId w:val="24"/>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Create new TASK, remove, add or update based on dispute action required</w:t>
            </w:r>
          </w:p>
          <w:p w:rsidR="00A62C32" w:rsidRPr="00ED6208" w:rsidRDefault="00A62C32" w:rsidP="00B533BB">
            <w:pPr>
              <w:pStyle w:val="ListParagraph"/>
              <w:numPr>
                <w:ilvl w:val="0"/>
                <w:numId w:val="27"/>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 xml:space="preserve">Relate- pre-existing </w:t>
            </w:r>
          </w:p>
          <w:p w:rsidR="00A62C32" w:rsidRPr="00ED6208" w:rsidRDefault="00A62C32" w:rsidP="00B533BB">
            <w:pPr>
              <w:pStyle w:val="ListParagraph"/>
              <w:numPr>
                <w:ilvl w:val="0"/>
                <w:numId w:val="27"/>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 xml:space="preserve">Create- new </w:t>
            </w:r>
          </w:p>
          <w:p w:rsidR="00A62C32" w:rsidRPr="00ED6208" w:rsidRDefault="00A62C32" w:rsidP="00B533BB">
            <w:pPr>
              <w:pStyle w:val="ListParagraph"/>
              <w:numPr>
                <w:ilvl w:val="0"/>
                <w:numId w:val="27"/>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 xml:space="preserve">Update- pre-existing -(Pending Enhancements in TEM) </w:t>
            </w:r>
          </w:p>
          <w:p w:rsidR="00A62C32" w:rsidRPr="00ED6208" w:rsidRDefault="00A62C32" w:rsidP="00B533BB">
            <w:pPr>
              <w:pStyle w:val="ListParagraph"/>
              <w:numPr>
                <w:ilvl w:val="0"/>
                <w:numId w:val="24"/>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Create notes in RFI and MAC work log, relate any ticket associated to the DN dispute action</w:t>
            </w:r>
          </w:p>
          <w:p w:rsidR="00A62C32" w:rsidRPr="00ED6208" w:rsidRDefault="00A62C32" w:rsidP="00B533BB">
            <w:pPr>
              <w:pStyle w:val="ListParagraph"/>
              <w:numPr>
                <w:ilvl w:val="0"/>
                <w:numId w:val="24"/>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Resolve MAC, Pending-QA,</w:t>
            </w:r>
          </w:p>
          <w:p w:rsidR="00A62C32" w:rsidRPr="00ED6208" w:rsidRDefault="00A62C32" w:rsidP="00B533BB">
            <w:pPr>
              <w:pStyle w:val="ListParagraph"/>
              <w:numPr>
                <w:ilvl w:val="0"/>
                <w:numId w:val="24"/>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Capture required data on Billing Adjustment Report, confirm billing adjustment match’s supporting docs located under the support tab of the RFI provided by TEM</w:t>
            </w:r>
          </w:p>
          <w:p w:rsidR="004F7AA0" w:rsidRPr="00ED6208" w:rsidRDefault="00A62C32" w:rsidP="004F7AA0">
            <w:pPr>
              <w:pStyle w:val="ListParagraph"/>
              <w:numPr>
                <w:ilvl w:val="0"/>
                <w:numId w:val="24"/>
              </w:numPr>
              <w:spacing w:after="200" w:line="276" w:lineRule="auto"/>
              <w:ind w:right="0"/>
              <w:contextualSpacing w:val="0"/>
              <w:rPr>
                <w:rFonts w:ascii="Calibri" w:hAnsi="Calibri" w:cs="Arial"/>
                <w:sz w:val="18"/>
                <w:szCs w:val="18"/>
              </w:rPr>
            </w:pPr>
            <w:r w:rsidRPr="00ED6208">
              <w:rPr>
                <w:rFonts w:ascii="Calibri" w:hAnsi="Calibri" w:cs="Arial"/>
                <w:sz w:val="18"/>
                <w:szCs w:val="18"/>
              </w:rPr>
              <w:t>If a variance in the dollar adjustment amount is different from what was provided by TEM an email identifying the variance will be sent to TEM to discuss further action required.</w:t>
            </w:r>
          </w:p>
          <w:p w:rsidR="00A62C32" w:rsidRPr="00ED6208" w:rsidRDefault="00A62C32" w:rsidP="00B533BB">
            <w:pPr>
              <w:pStyle w:val="ListParagraph"/>
              <w:numPr>
                <w:ilvl w:val="0"/>
                <w:numId w:val="24"/>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 xml:space="preserve">Create notes in RFI work log using the following format: </w:t>
            </w:r>
          </w:p>
          <w:p w:rsidR="007377D1" w:rsidRPr="00ED6208" w:rsidRDefault="00A62C32" w:rsidP="007377D1">
            <w:pPr>
              <w:pStyle w:val="ListParagraph"/>
              <w:numPr>
                <w:ilvl w:val="0"/>
                <w:numId w:val="28"/>
              </w:numPr>
              <w:spacing w:after="200" w:line="276" w:lineRule="auto"/>
              <w:ind w:right="0"/>
              <w:contextualSpacing w:val="0"/>
              <w:rPr>
                <w:rFonts w:ascii="Calibri" w:hAnsi="Calibri" w:cs="Arial"/>
                <w:sz w:val="18"/>
                <w:szCs w:val="18"/>
              </w:rPr>
            </w:pPr>
            <w:r w:rsidRPr="00ED6208">
              <w:rPr>
                <w:rFonts w:ascii="Calibri" w:hAnsi="Calibri" w:cs="Arial"/>
                <w:sz w:val="18"/>
                <w:szCs w:val="18"/>
              </w:rPr>
              <w:t>If variance in dispute is identified, copy email in Work log and wait for further action if required</w:t>
            </w:r>
          </w:p>
          <w:p w:rsidR="007377D1" w:rsidRPr="00ED6208" w:rsidRDefault="00A62C32" w:rsidP="007377D1">
            <w:pPr>
              <w:spacing w:after="200" w:line="276" w:lineRule="auto"/>
              <w:rPr>
                <w:rFonts w:cs="Arial"/>
                <w:sz w:val="18"/>
                <w:szCs w:val="18"/>
              </w:rPr>
            </w:pPr>
            <w:r w:rsidRPr="00ED6208">
              <w:rPr>
                <w:rFonts w:cs="Arial"/>
                <w:sz w:val="18"/>
                <w:szCs w:val="18"/>
              </w:rPr>
              <w:t>If no variance is identified, create notes in Work Log</w:t>
            </w:r>
          </w:p>
          <w:p w:rsidR="007377D1" w:rsidRPr="000D6A37" w:rsidRDefault="00A62C32" w:rsidP="007377D1">
            <w:pPr>
              <w:pStyle w:val="ListParagraph"/>
              <w:numPr>
                <w:ilvl w:val="0"/>
                <w:numId w:val="28"/>
              </w:numPr>
              <w:spacing w:after="200" w:line="276" w:lineRule="auto"/>
              <w:rPr>
                <w:rFonts w:ascii="Calibri" w:hAnsi="Calibri" w:cs="Arial"/>
                <w:color w:val="000000"/>
                <w:sz w:val="16"/>
                <w:szCs w:val="16"/>
              </w:rPr>
            </w:pPr>
            <w:r w:rsidRPr="000D6A37">
              <w:rPr>
                <w:rFonts w:ascii="Calibri" w:hAnsi="Calibri" w:cs="Arial"/>
                <w:color w:val="000000"/>
                <w:sz w:val="16"/>
                <w:szCs w:val="16"/>
              </w:rPr>
              <w:t>TEM- Credit request on seat 123-456-7890 to CTL billing for EOM, range  01-02-2013/02-01-2013 in the amount of $20.00</w:t>
            </w:r>
          </w:p>
          <w:p w:rsidR="00D62EDA" w:rsidRPr="000D6A37" w:rsidRDefault="00A62C32" w:rsidP="00D62EDA">
            <w:pPr>
              <w:pStyle w:val="ListParagraph"/>
              <w:numPr>
                <w:ilvl w:val="0"/>
                <w:numId w:val="28"/>
              </w:numPr>
              <w:spacing w:after="200" w:line="276" w:lineRule="auto"/>
              <w:rPr>
                <w:rFonts w:ascii="Calibri" w:hAnsi="Calibri" w:cs="Arial"/>
                <w:sz w:val="16"/>
                <w:szCs w:val="16"/>
              </w:rPr>
            </w:pPr>
            <w:r w:rsidRPr="000D6A37">
              <w:rPr>
                <w:rFonts w:ascii="Calibri" w:hAnsi="Calibri" w:cs="Arial"/>
                <w:color w:val="000000"/>
                <w:sz w:val="16"/>
                <w:szCs w:val="16"/>
              </w:rPr>
              <w:t>TEM- Debit request on seat 098-765-4321</w:t>
            </w:r>
            <w:r w:rsidR="007377D1" w:rsidRPr="000D6A37">
              <w:rPr>
                <w:rFonts w:ascii="Calibri" w:hAnsi="Calibri" w:cs="Arial"/>
                <w:color w:val="000000"/>
                <w:sz w:val="16"/>
                <w:szCs w:val="16"/>
              </w:rPr>
              <w:t xml:space="preserve"> to CTL billing for EOM, </w:t>
            </w:r>
            <w:r w:rsidRPr="000D6A37">
              <w:rPr>
                <w:rFonts w:ascii="Calibri" w:hAnsi="Calibri" w:cs="Arial"/>
                <w:color w:val="000000"/>
                <w:sz w:val="16"/>
                <w:szCs w:val="16"/>
              </w:rPr>
              <w:t>range  01-02-2013/02-01-2013 in the amount of $20.00</w:t>
            </w:r>
          </w:p>
          <w:p w:rsidR="00A62C32" w:rsidRPr="00ED6208" w:rsidRDefault="00A62C32" w:rsidP="00D62EDA">
            <w:pPr>
              <w:spacing w:after="200" w:line="276" w:lineRule="auto"/>
              <w:rPr>
                <w:rFonts w:cs="Arial"/>
                <w:sz w:val="18"/>
                <w:szCs w:val="18"/>
              </w:rPr>
            </w:pPr>
            <w:r w:rsidRPr="00D62EDA">
              <w:t>If multiple seats are listed in a dispute, each seat is required to have its own line item in the work log to identify date range and dollar adjustment</w:t>
            </w:r>
          </w:p>
          <w:p w:rsidR="00A62C32" w:rsidRPr="00ED6208" w:rsidRDefault="00A62C32" w:rsidP="00B533BB">
            <w:pPr>
              <w:pStyle w:val="ListParagraph"/>
              <w:numPr>
                <w:ilvl w:val="0"/>
                <w:numId w:val="24"/>
              </w:numPr>
              <w:spacing w:after="200" w:line="276" w:lineRule="auto"/>
              <w:ind w:right="0"/>
              <w:contextualSpacing w:val="0"/>
              <w:rPr>
                <w:rFonts w:ascii="Calibri" w:hAnsi="Calibri" w:cs="Arial"/>
                <w:sz w:val="18"/>
                <w:szCs w:val="18"/>
              </w:rPr>
            </w:pPr>
            <w:r w:rsidRPr="00ED6208">
              <w:rPr>
                <w:rFonts w:ascii="Calibri" w:hAnsi="Calibri" w:cs="Arial"/>
                <w:sz w:val="18"/>
                <w:szCs w:val="18"/>
              </w:rPr>
              <w:t>If the dispute is a duplicate or unable to validate, an email to TEM is required</w:t>
            </w:r>
          </w:p>
          <w:p w:rsidR="00A62C32" w:rsidRPr="00ED6208" w:rsidRDefault="00A62C32" w:rsidP="00B533BB">
            <w:pPr>
              <w:pStyle w:val="ListParagraph"/>
              <w:numPr>
                <w:ilvl w:val="0"/>
                <w:numId w:val="24"/>
              </w:numPr>
              <w:spacing w:after="200" w:line="276" w:lineRule="auto"/>
              <w:ind w:right="0"/>
              <w:contextualSpacing w:val="0"/>
              <w:rPr>
                <w:rFonts w:ascii="Calibri" w:hAnsi="Calibri" w:cs="Arial"/>
                <w:sz w:val="18"/>
                <w:szCs w:val="18"/>
              </w:rPr>
            </w:pPr>
            <w:r w:rsidRPr="00ED6208">
              <w:rPr>
                <w:rFonts w:ascii="Calibri" w:hAnsi="Calibri" w:cs="Arial"/>
                <w:sz w:val="18"/>
                <w:szCs w:val="18"/>
              </w:rPr>
              <w:t>On the original RFI, select drop down in Status back to “In Process”, select drop down “Telesoft” in Group Assigned To, select “Diane Hinkle” in drop down Individual Assigned To, (save)</w:t>
            </w:r>
          </w:p>
          <w:p w:rsidR="00A62C32" w:rsidRPr="00ED6208" w:rsidRDefault="00A62C32" w:rsidP="00A62C32">
            <w:pPr>
              <w:pStyle w:val="ListParagraph"/>
              <w:numPr>
                <w:ilvl w:val="0"/>
                <w:numId w:val="24"/>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 xml:space="preserve">A worksheet (Billing Adjustment Report) is created monthly for tracking any adjustments for all agencies. </w:t>
            </w:r>
          </w:p>
          <w:p w:rsidR="00A62C32" w:rsidRPr="00ED6208" w:rsidRDefault="00A62C32" w:rsidP="008474FE">
            <w:pPr>
              <w:pStyle w:val="ListParagraph"/>
              <w:numPr>
                <w:ilvl w:val="0"/>
                <w:numId w:val="24"/>
              </w:numPr>
              <w:spacing w:after="200" w:line="276" w:lineRule="auto"/>
              <w:ind w:right="0"/>
              <w:contextualSpacing w:val="0"/>
              <w:rPr>
                <w:rFonts w:ascii="Calibri" w:hAnsi="Calibri" w:cs="Arial"/>
                <w:sz w:val="18"/>
                <w:szCs w:val="18"/>
              </w:rPr>
            </w:pPr>
            <w:r w:rsidRPr="00ED6208">
              <w:rPr>
                <w:rFonts w:ascii="Calibri" w:hAnsi="Calibri" w:cs="Arial"/>
                <w:color w:val="000000"/>
                <w:sz w:val="18"/>
                <w:szCs w:val="18"/>
              </w:rPr>
              <w:t xml:space="preserve">The Billing Adjustment Report is sent to Telesoft, with a cc to </w:t>
            </w:r>
            <w:r w:rsidR="002253BB">
              <w:rPr>
                <w:rFonts w:ascii="Calibri" w:hAnsi="Calibri" w:cs="Arial"/>
                <w:color w:val="000000"/>
                <w:sz w:val="18"/>
                <w:szCs w:val="18"/>
              </w:rPr>
              <w:t xml:space="preserve">ASET </w:t>
            </w:r>
            <w:r w:rsidRPr="00ED6208">
              <w:rPr>
                <w:rFonts w:ascii="Calibri" w:hAnsi="Calibri" w:cs="Arial"/>
                <w:color w:val="000000"/>
                <w:sz w:val="18"/>
                <w:szCs w:val="18"/>
              </w:rPr>
              <w:t>EIC for review</w:t>
            </w:r>
          </w:p>
          <w:p w:rsidR="00AB5D8F" w:rsidRPr="004F7AA0" w:rsidRDefault="00AB5D8F" w:rsidP="008474FE">
            <w:pPr>
              <w:pStyle w:val="ListParagraph"/>
              <w:numPr>
                <w:ilvl w:val="0"/>
                <w:numId w:val="24"/>
              </w:numPr>
              <w:spacing w:after="200" w:line="276" w:lineRule="auto"/>
              <w:ind w:right="0"/>
              <w:contextualSpacing w:val="0"/>
              <w:rPr>
                <w:rFonts w:ascii="Calibri" w:hAnsi="Calibri" w:cs="Arial"/>
              </w:rPr>
            </w:pPr>
            <w:r w:rsidRPr="00ED6208">
              <w:rPr>
                <w:rFonts w:ascii="Calibri" w:hAnsi="Calibri" w:cs="Arial"/>
                <w:color w:val="000000"/>
                <w:sz w:val="18"/>
                <w:szCs w:val="18"/>
              </w:rPr>
              <w:t>Escalation Process- See Roles and Responsibilities July 201</w:t>
            </w:r>
            <w:r w:rsidR="009C09E0" w:rsidRPr="00ED6208">
              <w:rPr>
                <w:rFonts w:ascii="Calibri" w:hAnsi="Calibri" w:cs="Arial"/>
                <w:color w:val="000000"/>
                <w:sz w:val="18"/>
                <w:szCs w:val="18"/>
              </w:rPr>
              <w:t>3</w:t>
            </w:r>
          </w:p>
        </w:tc>
      </w:tr>
      <w:tr w:rsidR="00A62C32" w:rsidRPr="003F2CF8" w:rsidTr="008474FE">
        <w:tblPrEx>
          <w:tblCellMar>
            <w:top w:w="0" w:type="dxa"/>
            <w:left w:w="108" w:type="dxa"/>
            <w:bottom w:w="0" w:type="dxa"/>
            <w:right w:w="108" w:type="dxa"/>
          </w:tblCellMar>
          <w:tblLook w:val="04A0" w:firstRow="1" w:lastRow="0" w:firstColumn="1" w:lastColumn="0" w:noHBand="0" w:noVBand="1"/>
        </w:tblPrEx>
        <w:trPr>
          <w:trHeight w:val="611"/>
        </w:trPr>
        <w:tc>
          <w:tcPr>
            <w:tcW w:w="650" w:type="dxa"/>
          </w:tcPr>
          <w:p w:rsidR="00A62C32" w:rsidRPr="004F7AA0" w:rsidRDefault="00A62C32" w:rsidP="00D62EDA">
            <w:pPr>
              <w:rPr>
                <w:rFonts w:cs="Arial"/>
                <w:color w:val="000000"/>
                <w:szCs w:val="20"/>
              </w:rPr>
            </w:pPr>
            <w:r w:rsidRPr="004F7AA0">
              <w:rPr>
                <w:rFonts w:cs="Arial"/>
                <w:color w:val="000000"/>
                <w:szCs w:val="20"/>
              </w:rPr>
              <w:t>5</w:t>
            </w:r>
          </w:p>
        </w:tc>
        <w:tc>
          <w:tcPr>
            <w:tcW w:w="2147" w:type="dxa"/>
          </w:tcPr>
          <w:p w:rsidR="00A62C32" w:rsidRPr="004F7AA0" w:rsidRDefault="00A62C32" w:rsidP="00D62EDA">
            <w:pPr>
              <w:rPr>
                <w:rFonts w:cs="Arial"/>
                <w:color w:val="000000"/>
                <w:szCs w:val="20"/>
              </w:rPr>
            </w:pPr>
            <w:r w:rsidRPr="004F7AA0">
              <w:rPr>
                <w:rFonts w:cs="Arial"/>
                <w:color w:val="000000"/>
                <w:szCs w:val="20"/>
              </w:rPr>
              <w:t>Telesoft</w:t>
            </w:r>
          </w:p>
        </w:tc>
        <w:tc>
          <w:tcPr>
            <w:tcW w:w="7193" w:type="dxa"/>
            <w:gridSpan w:val="2"/>
          </w:tcPr>
          <w:p w:rsidR="00A62C32" w:rsidRPr="00ED6208" w:rsidRDefault="00A62C32" w:rsidP="008474FE">
            <w:pPr>
              <w:rPr>
                <w:rFonts w:cs="Arial"/>
                <w:color w:val="000000"/>
                <w:sz w:val="18"/>
                <w:szCs w:val="18"/>
              </w:rPr>
            </w:pPr>
            <w:r w:rsidRPr="00ED6208">
              <w:rPr>
                <w:rFonts w:cs="Arial"/>
                <w:color w:val="000000"/>
                <w:sz w:val="18"/>
                <w:szCs w:val="18"/>
              </w:rPr>
              <w:t>Will review Billing Adjustment Report</w:t>
            </w:r>
          </w:p>
          <w:p w:rsidR="00A62C32" w:rsidRPr="00ED6208" w:rsidRDefault="00A62C32" w:rsidP="00B533BB">
            <w:pPr>
              <w:pStyle w:val="ListParagraph"/>
              <w:numPr>
                <w:ilvl w:val="0"/>
                <w:numId w:val="26"/>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Acknowledge receipt of the Billing Adjustment Report via an email back to AZNet II</w:t>
            </w:r>
          </w:p>
          <w:p w:rsidR="00A62C32" w:rsidRPr="00ED6208" w:rsidRDefault="00A62C32" w:rsidP="00B533BB">
            <w:pPr>
              <w:pStyle w:val="ListParagraph"/>
              <w:numPr>
                <w:ilvl w:val="0"/>
                <w:numId w:val="26"/>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 xml:space="preserve">Verify data provided by AZNet II on Billing Adjustment Report is valid and agrees with findings </w:t>
            </w:r>
          </w:p>
          <w:p w:rsidR="00A62C32" w:rsidRPr="00ED6208" w:rsidRDefault="00A62C32" w:rsidP="00B533BB">
            <w:pPr>
              <w:pStyle w:val="ListParagraph"/>
              <w:numPr>
                <w:ilvl w:val="0"/>
                <w:numId w:val="26"/>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Send AZNet II an email verifying report is “Approved”</w:t>
            </w:r>
          </w:p>
          <w:p w:rsidR="004F7AA0" w:rsidRPr="004F7AA0" w:rsidRDefault="00A62C32" w:rsidP="004F7AA0">
            <w:pPr>
              <w:pStyle w:val="ListParagraph"/>
              <w:numPr>
                <w:ilvl w:val="0"/>
                <w:numId w:val="26"/>
              </w:numPr>
              <w:spacing w:after="200" w:line="276" w:lineRule="auto"/>
              <w:ind w:right="0"/>
              <w:contextualSpacing w:val="0"/>
              <w:rPr>
                <w:rFonts w:ascii="Calibri" w:hAnsi="Calibri" w:cs="Arial"/>
                <w:color w:val="000000"/>
              </w:rPr>
            </w:pPr>
            <w:r w:rsidRPr="00ED6208">
              <w:rPr>
                <w:rFonts w:ascii="Calibri" w:hAnsi="Calibri" w:cs="Arial"/>
                <w:color w:val="000000"/>
                <w:sz w:val="18"/>
                <w:szCs w:val="18"/>
              </w:rPr>
              <w:t xml:space="preserve">If  a variance is identified  TEM will provide specifics in an email back to AZNet II </w:t>
            </w:r>
            <w:r w:rsidR="00E835C1">
              <w:rPr>
                <w:rFonts w:ascii="Calibri" w:hAnsi="Calibri" w:cs="Arial"/>
                <w:color w:val="000000"/>
                <w:sz w:val="18"/>
                <w:szCs w:val="18"/>
              </w:rPr>
              <w:t xml:space="preserve">and CC  </w:t>
            </w:r>
            <w:r w:rsidR="002253BB">
              <w:rPr>
                <w:rFonts w:ascii="Calibri" w:hAnsi="Calibri" w:cs="Arial"/>
                <w:color w:val="000000"/>
                <w:sz w:val="18"/>
                <w:szCs w:val="18"/>
              </w:rPr>
              <w:t xml:space="preserve">ASET </w:t>
            </w:r>
            <w:r w:rsidR="00E835C1">
              <w:rPr>
                <w:rFonts w:ascii="Calibri" w:hAnsi="Calibri" w:cs="Arial"/>
                <w:color w:val="000000"/>
                <w:sz w:val="18"/>
                <w:szCs w:val="18"/>
              </w:rPr>
              <w:t xml:space="preserve">EIC </w:t>
            </w:r>
            <w:r w:rsidRPr="00ED6208">
              <w:rPr>
                <w:rFonts w:ascii="Calibri" w:hAnsi="Calibri" w:cs="Arial"/>
                <w:color w:val="000000"/>
                <w:sz w:val="18"/>
                <w:szCs w:val="18"/>
              </w:rPr>
              <w:t>Billing by the 5</w:t>
            </w:r>
            <w:r w:rsidRPr="00ED6208">
              <w:rPr>
                <w:rFonts w:ascii="Calibri" w:hAnsi="Calibri" w:cs="Arial"/>
                <w:color w:val="000000"/>
                <w:sz w:val="18"/>
                <w:szCs w:val="18"/>
                <w:vertAlign w:val="superscript"/>
              </w:rPr>
              <w:t>th</w:t>
            </w:r>
            <w:r w:rsidRPr="00ED6208">
              <w:rPr>
                <w:rFonts w:ascii="Calibri" w:hAnsi="Calibri" w:cs="Arial"/>
                <w:color w:val="000000"/>
                <w:sz w:val="18"/>
                <w:szCs w:val="18"/>
              </w:rPr>
              <w:t xml:space="preserve"> business day of the month to allow AZNet II additional research time</w:t>
            </w:r>
          </w:p>
        </w:tc>
      </w:tr>
      <w:tr w:rsidR="00A62C32" w:rsidRPr="003F2CF8" w:rsidTr="008474FE">
        <w:tblPrEx>
          <w:tblCellMar>
            <w:top w:w="0" w:type="dxa"/>
            <w:left w:w="108" w:type="dxa"/>
            <w:bottom w:w="0" w:type="dxa"/>
            <w:right w:w="108" w:type="dxa"/>
          </w:tblCellMar>
          <w:tblLook w:val="04A0" w:firstRow="1" w:lastRow="0" w:firstColumn="1" w:lastColumn="0" w:noHBand="0" w:noVBand="1"/>
        </w:tblPrEx>
        <w:trPr>
          <w:trHeight w:val="611"/>
        </w:trPr>
        <w:tc>
          <w:tcPr>
            <w:tcW w:w="650" w:type="dxa"/>
          </w:tcPr>
          <w:p w:rsidR="004F7AA0" w:rsidRDefault="004F7AA0" w:rsidP="00D62EDA">
            <w:pPr>
              <w:rPr>
                <w:rFonts w:cs="Arial"/>
                <w:color w:val="000000"/>
                <w:szCs w:val="20"/>
              </w:rPr>
            </w:pPr>
            <w:r w:rsidRPr="004F7AA0">
              <w:rPr>
                <w:rFonts w:cs="Arial"/>
                <w:color w:val="000000"/>
                <w:szCs w:val="20"/>
              </w:rPr>
              <w:t>6</w:t>
            </w:r>
          </w:p>
          <w:p w:rsidR="004F7AA0" w:rsidRDefault="004F7AA0" w:rsidP="00D62EDA">
            <w:pPr>
              <w:rPr>
                <w:rFonts w:cs="Arial"/>
                <w:color w:val="000000"/>
                <w:szCs w:val="20"/>
              </w:rPr>
            </w:pPr>
          </w:p>
          <w:p w:rsidR="004F7AA0" w:rsidRDefault="004F7AA0" w:rsidP="00D62EDA">
            <w:pPr>
              <w:rPr>
                <w:rFonts w:cs="Arial"/>
                <w:color w:val="000000"/>
                <w:szCs w:val="20"/>
              </w:rPr>
            </w:pPr>
          </w:p>
          <w:p w:rsidR="004F7AA0" w:rsidRDefault="004F7AA0" w:rsidP="00D62EDA">
            <w:pPr>
              <w:rPr>
                <w:rFonts w:cs="Arial"/>
                <w:color w:val="000000"/>
                <w:szCs w:val="20"/>
              </w:rPr>
            </w:pPr>
          </w:p>
          <w:p w:rsidR="004F7AA0" w:rsidRDefault="004F7AA0" w:rsidP="00D62EDA">
            <w:pPr>
              <w:rPr>
                <w:rFonts w:cs="Arial"/>
                <w:color w:val="000000"/>
                <w:szCs w:val="20"/>
              </w:rPr>
            </w:pPr>
          </w:p>
          <w:p w:rsidR="00A62C32" w:rsidRPr="004F7AA0" w:rsidRDefault="00A62C32" w:rsidP="00D62EDA">
            <w:pPr>
              <w:rPr>
                <w:rFonts w:cs="Arial"/>
                <w:color w:val="000000"/>
                <w:szCs w:val="20"/>
              </w:rPr>
            </w:pPr>
          </w:p>
        </w:tc>
        <w:tc>
          <w:tcPr>
            <w:tcW w:w="2147" w:type="dxa"/>
          </w:tcPr>
          <w:p w:rsidR="004F7AA0" w:rsidRDefault="004F7AA0" w:rsidP="00D62EDA">
            <w:pPr>
              <w:rPr>
                <w:rFonts w:cs="Arial"/>
                <w:color w:val="000000"/>
                <w:szCs w:val="20"/>
              </w:rPr>
            </w:pPr>
            <w:r w:rsidRPr="004F7AA0">
              <w:rPr>
                <w:rFonts w:cs="Arial"/>
                <w:color w:val="000000"/>
                <w:szCs w:val="20"/>
              </w:rPr>
              <w:t>AZNet II Billing Project Analyst</w:t>
            </w:r>
          </w:p>
          <w:p w:rsidR="004F7AA0" w:rsidRDefault="004F7AA0" w:rsidP="00D62EDA">
            <w:pPr>
              <w:rPr>
                <w:rFonts w:cs="Arial"/>
                <w:color w:val="000000"/>
                <w:szCs w:val="20"/>
              </w:rPr>
            </w:pPr>
          </w:p>
          <w:p w:rsidR="004F7AA0" w:rsidRDefault="004F7AA0" w:rsidP="00D62EDA">
            <w:pPr>
              <w:rPr>
                <w:rFonts w:cs="Arial"/>
                <w:color w:val="000000"/>
                <w:szCs w:val="20"/>
              </w:rPr>
            </w:pPr>
          </w:p>
          <w:p w:rsidR="004F7AA0" w:rsidRDefault="004F7AA0" w:rsidP="00D62EDA">
            <w:pPr>
              <w:rPr>
                <w:rFonts w:cs="Arial"/>
                <w:color w:val="000000"/>
                <w:szCs w:val="20"/>
              </w:rPr>
            </w:pPr>
          </w:p>
          <w:p w:rsidR="00A62C32" w:rsidRPr="004F7AA0" w:rsidRDefault="00A62C32" w:rsidP="00D62EDA">
            <w:pPr>
              <w:rPr>
                <w:rFonts w:cs="Arial"/>
                <w:color w:val="000000"/>
                <w:szCs w:val="20"/>
              </w:rPr>
            </w:pPr>
          </w:p>
        </w:tc>
        <w:tc>
          <w:tcPr>
            <w:tcW w:w="7193" w:type="dxa"/>
            <w:gridSpan w:val="2"/>
          </w:tcPr>
          <w:p w:rsidR="00A62C32" w:rsidRPr="00ED6208" w:rsidRDefault="00A62C32" w:rsidP="008474FE">
            <w:pPr>
              <w:rPr>
                <w:rFonts w:cs="Arial"/>
                <w:color w:val="000000"/>
                <w:sz w:val="18"/>
                <w:szCs w:val="18"/>
              </w:rPr>
            </w:pPr>
            <w:r w:rsidRPr="00ED6208">
              <w:rPr>
                <w:rFonts w:cs="Arial"/>
                <w:color w:val="000000"/>
                <w:sz w:val="18"/>
                <w:szCs w:val="18"/>
              </w:rPr>
              <w:t>Completes additional research if applicable on variance noted by TEM</w:t>
            </w:r>
          </w:p>
          <w:p w:rsidR="00A62C32" w:rsidRPr="00ED6208" w:rsidRDefault="00A62C32" w:rsidP="00B533BB">
            <w:pPr>
              <w:pStyle w:val="ListParagraph"/>
              <w:numPr>
                <w:ilvl w:val="0"/>
                <w:numId w:val="29"/>
              </w:numPr>
              <w:spacing w:after="200" w:line="276" w:lineRule="auto"/>
              <w:ind w:right="0"/>
              <w:contextualSpacing w:val="0"/>
              <w:rPr>
                <w:rFonts w:ascii="Calibri" w:hAnsi="Calibri" w:cs="Arial"/>
                <w:color w:val="000000"/>
                <w:sz w:val="18"/>
                <w:szCs w:val="18"/>
              </w:rPr>
            </w:pPr>
            <w:r w:rsidRPr="00ED6208">
              <w:rPr>
                <w:rFonts w:ascii="Calibri" w:hAnsi="Calibri" w:cs="Arial"/>
                <w:color w:val="000000"/>
                <w:sz w:val="18"/>
                <w:szCs w:val="18"/>
              </w:rPr>
              <w:t xml:space="preserve">Forward Billing Adjustment Report to </w:t>
            </w:r>
            <w:r w:rsidR="008A67AC">
              <w:rPr>
                <w:rFonts w:ascii="Calibri" w:hAnsi="Calibri" w:cs="Arial"/>
                <w:color w:val="000000"/>
                <w:sz w:val="18"/>
                <w:szCs w:val="18"/>
              </w:rPr>
              <w:t>AZNet II Program Manager</w:t>
            </w:r>
            <w:r w:rsidRPr="00ED6208">
              <w:rPr>
                <w:rFonts w:ascii="Calibri" w:hAnsi="Calibri" w:cs="Arial"/>
                <w:color w:val="000000"/>
                <w:sz w:val="18"/>
                <w:szCs w:val="18"/>
              </w:rPr>
              <w:t xml:space="preserve"> for approval</w:t>
            </w:r>
            <w:r w:rsidR="00ED6208" w:rsidRPr="00ED6208">
              <w:rPr>
                <w:rFonts w:ascii="Calibri" w:hAnsi="Calibri" w:cs="Arial"/>
                <w:color w:val="000000"/>
                <w:sz w:val="18"/>
                <w:szCs w:val="18"/>
              </w:rPr>
              <w:t>.</w:t>
            </w:r>
            <w:r w:rsidR="00ED6208" w:rsidRPr="00ED6208">
              <w:rPr>
                <w:rFonts w:ascii="Arial" w:hAnsi="Arial" w:cs="Arial"/>
                <w:color w:val="000000"/>
                <w:sz w:val="18"/>
                <w:szCs w:val="18"/>
              </w:rPr>
              <w:t xml:space="preserve"> </w:t>
            </w:r>
            <w:r w:rsidR="00ED6208" w:rsidRPr="00ED6208">
              <w:rPr>
                <w:rFonts w:ascii="Calibri" w:hAnsi="Calibri" w:cs="Arial"/>
                <w:color w:val="000000"/>
                <w:sz w:val="18"/>
                <w:szCs w:val="18"/>
              </w:rPr>
              <w:t>Any approved credits and/or debits resulting from the dispute shall post for only those disputed charges invoiced on the prior two billing cycles from the open date of the ticket, plus any incurred until the ticket is closed.</w:t>
            </w:r>
          </w:p>
          <w:p w:rsidR="00A62C32" w:rsidRPr="004F7AA0" w:rsidRDefault="00A62C32" w:rsidP="008A67AC">
            <w:pPr>
              <w:pStyle w:val="ListParagraph"/>
              <w:numPr>
                <w:ilvl w:val="0"/>
                <w:numId w:val="29"/>
              </w:numPr>
              <w:spacing w:after="200" w:line="276" w:lineRule="auto"/>
              <w:ind w:right="0"/>
              <w:contextualSpacing w:val="0"/>
              <w:rPr>
                <w:rFonts w:ascii="Calibri" w:hAnsi="Calibri" w:cs="Arial"/>
                <w:color w:val="000000"/>
              </w:rPr>
            </w:pPr>
            <w:r w:rsidRPr="00ED6208">
              <w:rPr>
                <w:rFonts w:ascii="Calibri" w:hAnsi="Calibri" w:cs="Arial"/>
                <w:color w:val="000000"/>
                <w:sz w:val="18"/>
                <w:szCs w:val="18"/>
              </w:rPr>
              <w:t xml:space="preserve">Copy approved email from </w:t>
            </w:r>
            <w:r w:rsidR="008A67AC">
              <w:rPr>
                <w:rFonts w:ascii="Calibri" w:hAnsi="Calibri" w:cs="Arial"/>
                <w:color w:val="000000"/>
                <w:sz w:val="18"/>
                <w:szCs w:val="18"/>
              </w:rPr>
              <w:t xml:space="preserve">the </w:t>
            </w:r>
            <w:proofErr w:type="spellStart"/>
            <w:r w:rsidR="008A67AC">
              <w:rPr>
                <w:rFonts w:ascii="Calibri" w:hAnsi="Calibri" w:cs="Arial"/>
                <w:color w:val="000000"/>
                <w:sz w:val="18"/>
                <w:szCs w:val="18"/>
              </w:rPr>
              <w:t>AZnet</w:t>
            </w:r>
            <w:proofErr w:type="spellEnd"/>
            <w:r w:rsidR="008A67AC">
              <w:rPr>
                <w:rFonts w:ascii="Calibri" w:hAnsi="Calibri" w:cs="Arial"/>
                <w:color w:val="000000"/>
                <w:sz w:val="18"/>
                <w:szCs w:val="18"/>
              </w:rPr>
              <w:t xml:space="preserve"> II Program Manager</w:t>
            </w:r>
            <w:r w:rsidRPr="00ED6208">
              <w:rPr>
                <w:rFonts w:ascii="Calibri" w:hAnsi="Calibri" w:cs="Arial"/>
                <w:color w:val="000000"/>
                <w:sz w:val="18"/>
                <w:szCs w:val="18"/>
              </w:rPr>
              <w:t xml:space="preserve"> and forward final Billing Adjustment Report to CTL billing by the 10</w:t>
            </w:r>
            <w:r w:rsidRPr="00ED6208">
              <w:rPr>
                <w:rFonts w:ascii="Calibri" w:hAnsi="Calibri" w:cs="Arial"/>
                <w:color w:val="000000"/>
                <w:sz w:val="18"/>
                <w:szCs w:val="18"/>
                <w:vertAlign w:val="superscript"/>
              </w:rPr>
              <w:t>th</w:t>
            </w:r>
            <w:r w:rsidRPr="00ED6208">
              <w:rPr>
                <w:rFonts w:ascii="Calibri" w:hAnsi="Calibri" w:cs="Arial"/>
                <w:color w:val="000000"/>
                <w:sz w:val="18"/>
                <w:szCs w:val="18"/>
              </w:rPr>
              <w:t xml:space="preserve"> business day of the month.</w:t>
            </w:r>
            <w:r w:rsidRPr="004F7AA0">
              <w:rPr>
                <w:rFonts w:ascii="Calibri" w:hAnsi="Calibri" w:cs="Arial"/>
                <w:color w:val="000000"/>
              </w:rPr>
              <w:t xml:space="preserve">  </w:t>
            </w:r>
          </w:p>
        </w:tc>
      </w:tr>
      <w:tr w:rsidR="00A62C32" w:rsidRPr="003F2CF8" w:rsidTr="008474FE">
        <w:tblPrEx>
          <w:tblCellMar>
            <w:top w:w="0" w:type="dxa"/>
            <w:left w:w="108" w:type="dxa"/>
            <w:bottom w:w="0" w:type="dxa"/>
            <w:right w:w="108" w:type="dxa"/>
          </w:tblCellMar>
          <w:tblLook w:val="04A0" w:firstRow="1" w:lastRow="0" w:firstColumn="1" w:lastColumn="0" w:noHBand="0" w:noVBand="1"/>
        </w:tblPrEx>
        <w:trPr>
          <w:trHeight w:val="611"/>
        </w:trPr>
        <w:tc>
          <w:tcPr>
            <w:tcW w:w="650" w:type="dxa"/>
          </w:tcPr>
          <w:p w:rsidR="00A62C32" w:rsidRPr="004F7AA0" w:rsidRDefault="00A62C32" w:rsidP="00D62EDA">
            <w:pPr>
              <w:rPr>
                <w:rFonts w:cs="Arial"/>
                <w:color w:val="000000"/>
                <w:szCs w:val="20"/>
              </w:rPr>
            </w:pPr>
            <w:r w:rsidRPr="004F7AA0">
              <w:rPr>
                <w:rFonts w:cs="Arial"/>
                <w:color w:val="000000"/>
                <w:szCs w:val="20"/>
              </w:rPr>
              <w:t>7</w:t>
            </w:r>
          </w:p>
        </w:tc>
        <w:tc>
          <w:tcPr>
            <w:tcW w:w="2147" w:type="dxa"/>
          </w:tcPr>
          <w:p w:rsidR="00A62C32" w:rsidRPr="004F7AA0" w:rsidRDefault="00A62C32" w:rsidP="00D62EDA">
            <w:pPr>
              <w:rPr>
                <w:rFonts w:cs="Arial"/>
                <w:color w:val="000000"/>
                <w:szCs w:val="20"/>
              </w:rPr>
            </w:pPr>
            <w:r w:rsidRPr="004F7AA0">
              <w:rPr>
                <w:rFonts w:cs="Arial"/>
                <w:color w:val="000000"/>
                <w:szCs w:val="20"/>
              </w:rPr>
              <w:t>CTL Billing Team</w:t>
            </w:r>
          </w:p>
        </w:tc>
        <w:tc>
          <w:tcPr>
            <w:tcW w:w="7193" w:type="dxa"/>
            <w:gridSpan w:val="2"/>
          </w:tcPr>
          <w:p w:rsidR="00A62C32" w:rsidRPr="00ED6208" w:rsidRDefault="00A62C32" w:rsidP="004F7AA0">
            <w:pPr>
              <w:rPr>
                <w:color w:val="1F497D"/>
                <w:sz w:val="24"/>
              </w:rPr>
            </w:pPr>
            <w:r w:rsidRPr="000D6A37">
              <w:rPr>
                <w:rFonts w:cs="Arial"/>
                <w:color w:val="000000"/>
                <w:sz w:val="18"/>
                <w:szCs w:val="18"/>
              </w:rPr>
              <w:t xml:space="preserve">Will apply credit/debit adjustments </w:t>
            </w:r>
            <w:r w:rsidR="004F7AA0" w:rsidRPr="000D6A37">
              <w:rPr>
                <w:rFonts w:cs="Arial"/>
                <w:color w:val="000000"/>
                <w:sz w:val="18"/>
                <w:szCs w:val="18"/>
              </w:rPr>
              <w:t xml:space="preserve">when applicable </w:t>
            </w:r>
            <w:r w:rsidRPr="000D6A37">
              <w:rPr>
                <w:rFonts w:cs="Arial"/>
                <w:color w:val="000000"/>
                <w:sz w:val="18"/>
                <w:szCs w:val="18"/>
              </w:rPr>
              <w:t>through the CTL appr</w:t>
            </w:r>
            <w:r w:rsidR="00942AE2" w:rsidRPr="000D6A37">
              <w:rPr>
                <w:rFonts w:cs="Arial"/>
                <w:color w:val="000000"/>
                <w:sz w:val="18"/>
                <w:szCs w:val="18"/>
              </w:rPr>
              <w:t>oval process on a monthly basis. a billing adjustment ticket  will be open and a number will be provide to Telesoft and</w:t>
            </w:r>
            <w:r w:rsidR="00DE406B" w:rsidRPr="000D6A37">
              <w:rPr>
                <w:rFonts w:cs="Arial"/>
                <w:color w:val="000000"/>
                <w:sz w:val="18"/>
                <w:szCs w:val="18"/>
              </w:rPr>
              <w:t xml:space="preserve"> </w:t>
            </w:r>
            <w:r w:rsidR="002253BB">
              <w:rPr>
                <w:rFonts w:cs="Arial"/>
                <w:color w:val="000000"/>
                <w:sz w:val="18"/>
                <w:szCs w:val="18"/>
              </w:rPr>
              <w:t xml:space="preserve">ASET </w:t>
            </w:r>
            <w:r w:rsidR="00942AE2" w:rsidRPr="000D6A37">
              <w:rPr>
                <w:rFonts w:cs="Arial"/>
                <w:color w:val="000000"/>
                <w:sz w:val="18"/>
                <w:szCs w:val="18"/>
              </w:rPr>
              <w:t>EIC for tracking</w:t>
            </w:r>
          </w:p>
        </w:tc>
      </w:tr>
      <w:tr w:rsidR="00DE406B" w:rsidRPr="003F2CF8" w:rsidTr="008474FE">
        <w:tblPrEx>
          <w:tblCellMar>
            <w:top w:w="0" w:type="dxa"/>
            <w:left w:w="108" w:type="dxa"/>
            <w:bottom w:w="0" w:type="dxa"/>
            <w:right w:w="108" w:type="dxa"/>
          </w:tblCellMar>
          <w:tblLook w:val="04A0" w:firstRow="1" w:lastRow="0" w:firstColumn="1" w:lastColumn="0" w:noHBand="0" w:noVBand="1"/>
        </w:tblPrEx>
        <w:trPr>
          <w:trHeight w:val="611"/>
        </w:trPr>
        <w:tc>
          <w:tcPr>
            <w:tcW w:w="650" w:type="dxa"/>
          </w:tcPr>
          <w:p w:rsidR="00DE406B" w:rsidRPr="004F7AA0" w:rsidRDefault="00DE406B" w:rsidP="00D62EDA">
            <w:pPr>
              <w:rPr>
                <w:rFonts w:cs="Arial"/>
                <w:color w:val="000000"/>
                <w:szCs w:val="20"/>
              </w:rPr>
            </w:pPr>
            <w:r>
              <w:rPr>
                <w:rFonts w:cs="Arial"/>
                <w:color w:val="000000"/>
                <w:szCs w:val="20"/>
              </w:rPr>
              <w:t>8</w:t>
            </w:r>
          </w:p>
        </w:tc>
        <w:tc>
          <w:tcPr>
            <w:tcW w:w="2147" w:type="dxa"/>
          </w:tcPr>
          <w:p w:rsidR="00DE406B" w:rsidRPr="004F7AA0" w:rsidRDefault="00DE406B" w:rsidP="00D62EDA">
            <w:pPr>
              <w:rPr>
                <w:rFonts w:cs="Arial"/>
                <w:color w:val="000000"/>
                <w:szCs w:val="20"/>
              </w:rPr>
            </w:pPr>
            <w:r>
              <w:rPr>
                <w:rFonts w:cs="Arial"/>
                <w:color w:val="000000"/>
                <w:szCs w:val="20"/>
              </w:rPr>
              <w:t>Telesoft</w:t>
            </w:r>
          </w:p>
        </w:tc>
        <w:tc>
          <w:tcPr>
            <w:tcW w:w="7193" w:type="dxa"/>
            <w:gridSpan w:val="2"/>
          </w:tcPr>
          <w:p w:rsidR="00DE406B" w:rsidRPr="000D6A37" w:rsidRDefault="00DE406B" w:rsidP="000D6A37">
            <w:pPr>
              <w:spacing w:after="200" w:line="276" w:lineRule="auto"/>
              <w:rPr>
                <w:rFonts w:cs="Arial"/>
                <w:color w:val="000000"/>
                <w:szCs w:val="20"/>
              </w:rPr>
            </w:pPr>
            <w:r w:rsidRPr="000D6A37">
              <w:rPr>
                <w:rFonts w:cs="Arial"/>
                <w:color w:val="000000"/>
                <w:sz w:val="18"/>
                <w:szCs w:val="18"/>
              </w:rPr>
              <w:t xml:space="preserve">Will apply credit/debit adjustments </w:t>
            </w:r>
            <w:r w:rsidR="00D04B92" w:rsidRPr="000D6A37">
              <w:rPr>
                <w:rFonts w:cs="Arial"/>
                <w:color w:val="000000"/>
                <w:sz w:val="18"/>
                <w:szCs w:val="18"/>
              </w:rPr>
              <w:t xml:space="preserve">to the agencies </w:t>
            </w:r>
            <w:r w:rsidRPr="000D6A37">
              <w:rPr>
                <w:rFonts w:cs="Arial"/>
                <w:color w:val="000000"/>
                <w:sz w:val="18"/>
                <w:szCs w:val="18"/>
              </w:rPr>
              <w:t xml:space="preserve">from the Claim for payment report provided by </w:t>
            </w:r>
            <w:proofErr w:type="spellStart"/>
            <w:r w:rsidRPr="000D6A37">
              <w:rPr>
                <w:rFonts w:cs="Arial"/>
                <w:color w:val="000000"/>
                <w:sz w:val="18"/>
                <w:szCs w:val="18"/>
              </w:rPr>
              <w:t>ctl</w:t>
            </w:r>
            <w:proofErr w:type="spellEnd"/>
            <w:r w:rsidRPr="000D6A37">
              <w:rPr>
                <w:rFonts w:cs="Arial"/>
                <w:color w:val="000000"/>
                <w:sz w:val="18"/>
                <w:szCs w:val="18"/>
              </w:rPr>
              <w:t xml:space="preserve"> billing team</w:t>
            </w:r>
          </w:p>
        </w:tc>
      </w:tr>
    </w:tbl>
    <w:p w:rsidR="00DE406B" w:rsidRDefault="00DE406B" w:rsidP="00B533BB">
      <w:pPr>
        <w:outlineLvl w:val="0"/>
        <w:rPr>
          <w:rFonts w:cs="Arial"/>
          <w:b/>
          <w:sz w:val="22"/>
          <w:u w:val="single"/>
        </w:rPr>
      </w:pPr>
    </w:p>
    <w:p w:rsidR="00D62EDA" w:rsidRDefault="00D62EDA" w:rsidP="00B533BB">
      <w:pPr>
        <w:outlineLvl w:val="0"/>
        <w:rPr>
          <w:rFonts w:cs="Arial"/>
          <w:b/>
          <w:sz w:val="22"/>
          <w:u w:val="single"/>
        </w:rPr>
      </w:pPr>
    </w:p>
    <w:p w:rsidR="00D62EDA" w:rsidRDefault="00D62EDA" w:rsidP="00B533BB">
      <w:pPr>
        <w:outlineLvl w:val="0"/>
        <w:rPr>
          <w:rFonts w:cs="Arial"/>
          <w:b/>
          <w:sz w:val="22"/>
          <w:u w:val="single"/>
        </w:rPr>
      </w:pPr>
    </w:p>
    <w:p w:rsidR="00D62EDA" w:rsidRDefault="00D62EDA" w:rsidP="00B533BB">
      <w:pPr>
        <w:outlineLvl w:val="0"/>
        <w:rPr>
          <w:rFonts w:cs="Arial"/>
          <w:b/>
          <w:sz w:val="22"/>
          <w:u w:val="single"/>
        </w:rPr>
      </w:pPr>
    </w:p>
    <w:p w:rsidR="00D62EDA" w:rsidRDefault="00D62EDA" w:rsidP="00B533BB">
      <w:pPr>
        <w:outlineLvl w:val="0"/>
        <w:rPr>
          <w:rFonts w:cs="Arial"/>
          <w:b/>
          <w:sz w:val="22"/>
          <w:u w:val="single"/>
        </w:rPr>
      </w:pPr>
    </w:p>
    <w:p w:rsidR="00D62EDA" w:rsidRDefault="00D62EDA" w:rsidP="00B533BB">
      <w:pPr>
        <w:outlineLvl w:val="0"/>
        <w:rPr>
          <w:rFonts w:cs="Arial"/>
          <w:b/>
          <w:sz w:val="22"/>
          <w:u w:val="single"/>
        </w:rPr>
      </w:pPr>
    </w:p>
    <w:p w:rsidR="00B533BB" w:rsidRPr="00AD6257" w:rsidRDefault="00B533BB" w:rsidP="00B533BB">
      <w:pPr>
        <w:outlineLvl w:val="0"/>
        <w:rPr>
          <w:rFonts w:cs="Arial"/>
          <w:b/>
          <w:smallCaps w:val="0"/>
          <w:sz w:val="22"/>
          <w:u w:val="single"/>
        </w:rPr>
      </w:pPr>
      <w:proofErr w:type="spellStart"/>
      <w:r w:rsidRPr="00AD6257">
        <w:rPr>
          <w:rFonts w:cs="Arial"/>
          <w:b/>
          <w:sz w:val="22"/>
          <w:u w:val="single"/>
        </w:rPr>
        <w:t>OutPut</w:t>
      </w:r>
      <w:proofErr w:type="spellEnd"/>
    </w:p>
    <w:p w:rsidR="00B533BB" w:rsidRPr="00ED6208" w:rsidRDefault="00B533BB" w:rsidP="00ED6208">
      <w:pPr>
        <w:pStyle w:val="NoSpacing"/>
        <w:numPr>
          <w:ilvl w:val="0"/>
          <w:numId w:val="36"/>
        </w:numPr>
        <w:rPr>
          <w:szCs w:val="20"/>
        </w:rPr>
      </w:pPr>
      <w:r w:rsidRPr="00ED6208">
        <w:rPr>
          <w:szCs w:val="20"/>
        </w:rPr>
        <w:t xml:space="preserve">Completed RFI Dispute </w:t>
      </w:r>
    </w:p>
    <w:p w:rsidR="00B533BB" w:rsidRPr="00ED6208" w:rsidRDefault="00B533BB" w:rsidP="00ED6208">
      <w:pPr>
        <w:pStyle w:val="NoSpacing"/>
        <w:numPr>
          <w:ilvl w:val="0"/>
          <w:numId w:val="36"/>
        </w:numPr>
        <w:rPr>
          <w:szCs w:val="20"/>
        </w:rPr>
      </w:pPr>
      <w:r w:rsidRPr="00ED6208">
        <w:rPr>
          <w:szCs w:val="20"/>
        </w:rPr>
        <w:t>Completed Agency Credit/Debit</w:t>
      </w:r>
    </w:p>
    <w:p w:rsidR="00B533BB" w:rsidRPr="006B1741" w:rsidRDefault="00B533BB" w:rsidP="00B533BB">
      <w:pPr>
        <w:ind w:left="360"/>
        <w:outlineLvl w:val="0"/>
        <w:rPr>
          <w:rFonts w:cs="Arial"/>
        </w:rPr>
      </w:pPr>
    </w:p>
    <w:p w:rsidR="00B533BB" w:rsidRPr="00AD6257" w:rsidRDefault="00B533BB" w:rsidP="00B533BB">
      <w:pPr>
        <w:pStyle w:val="Heading3"/>
        <w:rPr>
          <w:rFonts w:asciiTheme="minorHAnsi" w:hAnsiTheme="minorHAnsi"/>
          <w:b w:val="0"/>
          <w:sz w:val="22"/>
          <w:u w:val="single"/>
        </w:rPr>
      </w:pPr>
      <w:r w:rsidRPr="00AD6257">
        <w:rPr>
          <w:rFonts w:asciiTheme="minorHAnsi" w:hAnsiTheme="minorHAnsi"/>
          <w:sz w:val="22"/>
          <w:u w:val="single"/>
        </w:rPr>
        <w:t>Exit Criteria</w:t>
      </w:r>
    </w:p>
    <w:p w:rsidR="00B533BB" w:rsidRPr="00ED6208" w:rsidRDefault="00B533BB" w:rsidP="00ED6208">
      <w:pPr>
        <w:pStyle w:val="NoSpacing"/>
        <w:numPr>
          <w:ilvl w:val="0"/>
          <w:numId w:val="36"/>
        </w:numPr>
        <w:rPr>
          <w:smallCaps/>
          <w:szCs w:val="20"/>
        </w:rPr>
      </w:pPr>
      <w:r w:rsidRPr="00ED6208">
        <w:rPr>
          <w:szCs w:val="20"/>
        </w:rPr>
        <w:t>Resolved Remedy Ticket</w:t>
      </w:r>
    </w:p>
    <w:p w:rsidR="00B533BB" w:rsidRDefault="00B533BB" w:rsidP="00B533BB">
      <w:pPr>
        <w:spacing w:line="276" w:lineRule="auto"/>
        <w:rPr>
          <w:b/>
          <w:color w:val="000000"/>
        </w:rPr>
      </w:pPr>
    </w:p>
    <w:p w:rsidR="004F7AA0" w:rsidRDefault="004F7AA0" w:rsidP="00B533BB">
      <w:pPr>
        <w:spacing w:line="276" w:lineRule="auto"/>
        <w:rPr>
          <w:b/>
          <w:color w:val="000000"/>
          <w:sz w:val="22"/>
          <w:u w:val="single"/>
        </w:rPr>
      </w:pPr>
    </w:p>
    <w:p w:rsidR="00B533BB" w:rsidRPr="006B1741" w:rsidRDefault="00B533BB" w:rsidP="00B533BB">
      <w:pPr>
        <w:spacing w:line="276" w:lineRule="auto"/>
        <w:rPr>
          <w:b/>
          <w:color w:val="000000"/>
          <w:sz w:val="22"/>
          <w:u w:val="single"/>
        </w:rPr>
      </w:pPr>
      <w:r w:rsidRPr="00AD6257">
        <w:rPr>
          <w:b/>
          <w:color w:val="000000"/>
          <w:sz w:val="22"/>
          <w:u w:val="single"/>
        </w:rPr>
        <w:t>Additional Considerations/Assumptions:</w:t>
      </w:r>
    </w:p>
    <w:p w:rsidR="00B533BB" w:rsidRPr="00ED6208" w:rsidRDefault="00B533BB" w:rsidP="00ED6208">
      <w:pPr>
        <w:pStyle w:val="NoSpacing"/>
        <w:numPr>
          <w:ilvl w:val="0"/>
          <w:numId w:val="36"/>
        </w:numPr>
        <w:rPr>
          <w:szCs w:val="20"/>
        </w:rPr>
      </w:pPr>
      <w:r w:rsidRPr="00ED6208">
        <w:rPr>
          <w:szCs w:val="20"/>
        </w:rPr>
        <w:t>All requests are not substantiated</w:t>
      </w:r>
    </w:p>
    <w:p w:rsidR="007377D1" w:rsidRDefault="00B533BB" w:rsidP="00ED6208">
      <w:pPr>
        <w:pStyle w:val="NoSpacing"/>
        <w:numPr>
          <w:ilvl w:val="0"/>
          <w:numId w:val="36"/>
        </w:numPr>
        <w:rPr>
          <w:szCs w:val="20"/>
        </w:rPr>
      </w:pPr>
      <w:r w:rsidRPr="00ED6208">
        <w:rPr>
          <w:szCs w:val="20"/>
        </w:rPr>
        <w:t>External Sprea</w:t>
      </w:r>
      <w:bookmarkStart w:id="18" w:name="_Toc101851486"/>
      <w:r w:rsidR="004F7AA0" w:rsidRPr="00ED6208">
        <w:rPr>
          <w:szCs w:val="20"/>
        </w:rPr>
        <w:t>dsheets for processing manually</w:t>
      </w:r>
    </w:p>
    <w:p w:rsidR="00ED6208" w:rsidRPr="00ED6208" w:rsidRDefault="00ED6208" w:rsidP="00ED6208">
      <w:pPr>
        <w:pStyle w:val="NoSpacing"/>
        <w:ind w:left="720"/>
        <w:rPr>
          <w:szCs w:val="20"/>
        </w:rPr>
      </w:pPr>
    </w:p>
    <w:p w:rsidR="00B533BB" w:rsidRPr="007377D1" w:rsidRDefault="00B533BB" w:rsidP="007377D1">
      <w:pPr>
        <w:spacing w:line="276" w:lineRule="auto"/>
        <w:rPr>
          <w:color w:val="000000"/>
          <w:sz w:val="22"/>
        </w:rPr>
      </w:pPr>
      <w:r w:rsidRPr="007377D1">
        <w:rPr>
          <w:rFonts w:asciiTheme="minorHAnsi" w:hAnsiTheme="minorHAnsi"/>
          <w:b/>
          <w:sz w:val="22"/>
          <w:u w:val="single"/>
        </w:rPr>
        <w:t>Stakeholders</w:t>
      </w:r>
    </w:p>
    <w:p w:rsidR="00B533BB" w:rsidRPr="00ED6208" w:rsidRDefault="00B533BB" w:rsidP="00ED6208">
      <w:pPr>
        <w:pStyle w:val="NoSpacing"/>
        <w:rPr>
          <w:szCs w:val="20"/>
        </w:rPr>
      </w:pPr>
      <w:r w:rsidRPr="00ED6208">
        <w:rPr>
          <w:szCs w:val="20"/>
        </w:rPr>
        <w:t>State Agency, AZNet II Project (Carrier) Analyst, ASET EIC and Telesoft</w:t>
      </w:r>
    </w:p>
    <w:p w:rsidR="00B533BB" w:rsidRPr="00AD6257" w:rsidRDefault="00B533BB" w:rsidP="00B533BB">
      <w:pPr>
        <w:rPr>
          <w:rFonts w:asciiTheme="minorHAnsi" w:hAnsiTheme="minorHAnsi"/>
          <w:smallCaps w:val="0"/>
        </w:rPr>
      </w:pPr>
    </w:p>
    <w:p w:rsidR="00B533BB" w:rsidRPr="00AD6257" w:rsidRDefault="00B533BB" w:rsidP="00B533BB">
      <w:pPr>
        <w:pStyle w:val="Heading3"/>
        <w:rPr>
          <w:rFonts w:asciiTheme="minorHAnsi" w:hAnsiTheme="minorHAnsi"/>
          <w:b w:val="0"/>
          <w:sz w:val="22"/>
          <w:u w:val="single"/>
        </w:rPr>
      </w:pPr>
      <w:r w:rsidRPr="00AD6257">
        <w:rPr>
          <w:rFonts w:asciiTheme="minorHAnsi" w:hAnsiTheme="minorHAnsi"/>
          <w:sz w:val="22"/>
          <w:u w:val="single"/>
        </w:rPr>
        <w:t>SLR Considerations</w:t>
      </w:r>
      <w:bookmarkEnd w:id="18"/>
      <w:r w:rsidRPr="00AD6257">
        <w:rPr>
          <w:rFonts w:asciiTheme="minorHAnsi" w:hAnsiTheme="minorHAnsi"/>
          <w:sz w:val="22"/>
          <w:u w:val="single"/>
        </w:rPr>
        <w:t xml:space="preserve"> </w:t>
      </w:r>
    </w:p>
    <w:p w:rsidR="00B533BB" w:rsidRPr="00ED6208" w:rsidRDefault="00B533BB" w:rsidP="00ED6208">
      <w:pPr>
        <w:pStyle w:val="NoSpacing"/>
        <w:rPr>
          <w:szCs w:val="20"/>
        </w:rPr>
      </w:pPr>
      <w:r w:rsidRPr="00ED6208">
        <w:rPr>
          <w:szCs w:val="20"/>
        </w:rPr>
        <w:t xml:space="preserve">Telesoft must </w:t>
      </w:r>
      <w:r w:rsidR="00294A14" w:rsidRPr="00ED6208">
        <w:rPr>
          <w:szCs w:val="20"/>
        </w:rPr>
        <w:t>Resolve 98% of billing Disputes within two billing cycles</w:t>
      </w:r>
    </w:p>
    <w:p w:rsidR="00B533BB" w:rsidRPr="00AD6257" w:rsidRDefault="00B533BB" w:rsidP="00B533BB">
      <w:pPr>
        <w:outlineLvl w:val="0"/>
        <w:rPr>
          <w:rFonts w:asciiTheme="minorHAnsi" w:hAnsiTheme="minorHAnsi" w:cs="Arial"/>
          <w:smallCaps w:val="0"/>
          <w:sz w:val="22"/>
        </w:rPr>
      </w:pPr>
    </w:p>
    <w:p w:rsidR="00B533BB" w:rsidRPr="00AD6257" w:rsidRDefault="00B533BB" w:rsidP="00B533BB">
      <w:pPr>
        <w:pStyle w:val="Heading3"/>
        <w:rPr>
          <w:rFonts w:asciiTheme="minorHAnsi" w:hAnsiTheme="minorHAnsi"/>
          <w:b w:val="0"/>
          <w:sz w:val="22"/>
          <w:u w:val="single"/>
        </w:rPr>
      </w:pPr>
      <w:bookmarkStart w:id="19" w:name="_Toc101851487"/>
      <w:r w:rsidRPr="00AD6257">
        <w:rPr>
          <w:rFonts w:asciiTheme="minorHAnsi" w:hAnsiTheme="minorHAnsi"/>
          <w:sz w:val="22"/>
          <w:u w:val="single"/>
        </w:rPr>
        <w:t>Procedure Attributes</w:t>
      </w:r>
      <w:bookmarkEnd w:id="19"/>
    </w:p>
    <w:p w:rsidR="00B533BB" w:rsidRPr="00ED6208" w:rsidRDefault="00B533BB" w:rsidP="00ED6208">
      <w:pPr>
        <w:pStyle w:val="NoSpacing"/>
        <w:numPr>
          <w:ilvl w:val="0"/>
          <w:numId w:val="37"/>
        </w:numPr>
        <w:rPr>
          <w:szCs w:val="20"/>
        </w:rPr>
      </w:pPr>
      <w:r w:rsidRPr="00ED6208">
        <w:rPr>
          <w:szCs w:val="20"/>
        </w:rPr>
        <w:t>Procedure Owner: AZNet II Service Billing and Telesoft</w:t>
      </w:r>
    </w:p>
    <w:p w:rsidR="00B533BB" w:rsidRPr="00ED6208" w:rsidRDefault="00B533BB" w:rsidP="00ED6208">
      <w:pPr>
        <w:pStyle w:val="NoSpacing"/>
        <w:numPr>
          <w:ilvl w:val="0"/>
          <w:numId w:val="37"/>
        </w:numPr>
        <w:rPr>
          <w:szCs w:val="20"/>
        </w:rPr>
      </w:pPr>
      <w:r w:rsidRPr="00ED6208">
        <w:rPr>
          <w:szCs w:val="20"/>
        </w:rPr>
        <w:t>Review Cycle: 360 days</w:t>
      </w:r>
    </w:p>
    <w:p w:rsidR="00B533BB" w:rsidRPr="00ED6208" w:rsidRDefault="00B533BB" w:rsidP="00ED6208">
      <w:pPr>
        <w:pStyle w:val="NoSpacing"/>
        <w:numPr>
          <w:ilvl w:val="0"/>
          <w:numId w:val="37"/>
        </w:numPr>
        <w:rPr>
          <w:szCs w:val="20"/>
        </w:rPr>
      </w:pPr>
      <w:r w:rsidRPr="00ED6208">
        <w:rPr>
          <w:szCs w:val="20"/>
        </w:rPr>
        <w:t>Stakeholders for Approvals and Changes: AZNet II Program Manager, Telesoft and ASET EIC</w:t>
      </w:r>
    </w:p>
    <w:p w:rsidR="00737409" w:rsidRPr="00ED6208" w:rsidRDefault="00A62C32" w:rsidP="00ED6208">
      <w:pPr>
        <w:pStyle w:val="NoSpacing"/>
        <w:numPr>
          <w:ilvl w:val="0"/>
          <w:numId w:val="37"/>
        </w:numPr>
        <w:rPr>
          <w:szCs w:val="20"/>
        </w:rPr>
      </w:pPr>
      <w:r w:rsidRPr="00ED6208">
        <w:rPr>
          <w:szCs w:val="20"/>
        </w:rPr>
        <w:t>Approvals</w:t>
      </w:r>
      <w:r w:rsidR="00382373" w:rsidRPr="00ED6208">
        <w:rPr>
          <w:szCs w:val="20"/>
        </w:rPr>
        <w:t xml:space="preserve"> and Changes: </w:t>
      </w:r>
      <w:r w:rsidR="007C3E9F" w:rsidRPr="00ED6208">
        <w:rPr>
          <w:szCs w:val="20"/>
        </w:rPr>
        <w:t>AZNet II Program Manager</w:t>
      </w:r>
      <w:r w:rsidR="006939FA" w:rsidRPr="00ED6208">
        <w:rPr>
          <w:szCs w:val="20"/>
        </w:rPr>
        <w:t>, ASET EIC</w:t>
      </w:r>
    </w:p>
    <w:sectPr w:rsidR="00737409" w:rsidRPr="00ED6208" w:rsidSect="00960880">
      <w:head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720" w:rsidRDefault="00396720" w:rsidP="006A5418">
      <w:r>
        <w:separator/>
      </w:r>
    </w:p>
  </w:endnote>
  <w:endnote w:type="continuationSeparator" w:id="0">
    <w:p w:rsidR="00396720" w:rsidRDefault="00396720" w:rsidP="006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Segoe UI"/>
    <w:charset w:val="00"/>
    <w:family w:val="swiss"/>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720" w:rsidRDefault="00396720" w:rsidP="006A5418">
      <w:r>
        <w:separator/>
      </w:r>
    </w:p>
  </w:footnote>
  <w:footnote w:type="continuationSeparator" w:id="0">
    <w:p w:rsidR="00396720" w:rsidRDefault="00396720" w:rsidP="006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60" w:rsidRDefault="00641EFD" w:rsidP="006A5418">
    <w:pPr>
      <w:pStyle w:val="Header"/>
      <w:ind w:left="-450"/>
    </w:pPr>
    <w:r>
      <w:rPr>
        <w:noProof/>
      </w:rPr>
      <mc:AlternateContent>
        <mc:Choice Requires="wps">
          <w:drawing>
            <wp:anchor distT="4294967293" distB="4294967293" distL="114300" distR="114300" simplePos="0" relativeHeight="251660288" behindDoc="0" locked="0" layoutInCell="1" allowOverlap="1" wp14:anchorId="01C8B875" wp14:editId="27831378">
              <wp:simplePos x="0" y="0"/>
              <wp:positionH relativeFrom="column">
                <wp:posOffset>-281305</wp:posOffset>
              </wp:positionH>
              <wp:positionV relativeFrom="paragraph">
                <wp:posOffset>1005839</wp:posOffset>
              </wp:positionV>
              <wp:extent cx="64008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AF8569" id="_x0000_t32" coordsize="21600,21600" o:spt="32" o:oned="t" path="m,l21600,21600e" filled="f">
              <v:path arrowok="t" fillok="f" o:connecttype="none"/>
              <o:lock v:ext="edit" shapetype="t"/>
            </v:shapetype>
            <v:shape id="AutoShape 1" o:spid="_x0000_s1026" type="#_x0000_t32" style="position:absolute;margin-left:-22.15pt;margin-top:79.2pt;width:7in;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"/>
          </w:pict>
        </mc:Fallback>
      </mc:AlternateContent>
    </w:r>
  </w:p>
  <w:p w:rsidR="00CD1860" w:rsidRDefault="00CD1860" w:rsidP="00406BE3">
    <w:pPr>
      <w:pStyle w:val="Header"/>
      <w:tabs>
        <w:tab w:val="left" w:pos="0"/>
      </w:tabs>
      <w:ind w:left="-450"/>
      <w:rPr>
        <w:i/>
      </w:rPr>
    </w:pPr>
    <w:r>
      <w:rPr>
        <w:noProof/>
      </w:rPr>
      <w:drawing>
        <wp:anchor distT="0" distB="0" distL="114300" distR="114300" simplePos="0" relativeHeight="251657216" behindDoc="1" locked="0" layoutInCell="1" allowOverlap="1" wp14:anchorId="01C8B876" wp14:editId="01C8B877">
          <wp:simplePos x="0" y="0"/>
          <wp:positionH relativeFrom="column">
            <wp:posOffset>-22860</wp:posOffset>
          </wp:positionH>
          <wp:positionV relativeFrom="paragraph">
            <wp:posOffset>65405</wp:posOffset>
          </wp:positionV>
          <wp:extent cx="3461385" cy="701040"/>
          <wp:effectExtent l="0" t="0" r="571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1385" cy="701040"/>
                  </a:xfrm>
                  <a:prstGeom prst="rect">
                    <a:avLst/>
                  </a:prstGeom>
                  <a:noFill/>
                  <a:ln>
                    <a:noFill/>
                  </a:ln>
                </pic:spPr>
              </pic:pic>
            </a:graphicData>
          </a:graphic>
        </wp:anchor>
      </w:drawing>
    </w:r>
    <w:r w:rsidRPr="00B518B8">
      <w:rPr>
        <w:i/>
      </w:rPr>
      <w:tab/>
    </w:r>
  </w:p>
  <w:p w:rsidR="00CD1860" w:rsidRDefault="00CD1860" w:rsidP="00406BE3">
    <w:pPr>
      <w:pStyle w:val="Header"/>
      <w:tabs>
        <w:tab w:val="left" w:pos="0"/>
      </w:tabs>
      <w:ind w:left="-450"/>
      <w:rPr>
        <w:i/>
      </w:rPr>
    </w:pPr>
  </w:p>
  <w:p w:rsidR="00CD1860" w:rsidRDefault="00413956" w:rsidP="00406BE3">
    <w:pPr>
      <w:pStyle w:val="Header"/>
      <w:tabs>
        <w:tab w:val="left" w:pos="0"/>
      </w:tabs>
      <w:ind w:left="-450"/>
      <w:rPr>
        <w:b/>
        <w:i/>
        <w:color w:val="990000"/>
        <w:sz w:val="36"/>
        <w:szCs w:val="36"/>
      </w:rPr>
    </w:pPr>
    <w:r>
      <w:rPr>
        <w:b/>
        <w:i/>
        <w:color w:val="990000"/>
        <w:sz w:val="36"/>
        <w:szCs w:val="36"/>
      </w:rPr>
      <w:tab/>
    </w:r>
    <w:r>
      <w:rPr>
        <w:b/>
        <w:i/>
        <w:color w:val="990000"/>
        <w:sz w:val="36"/>
        <w:szCs w:val="36"/>
      </w:rPr>
      <w:tab/>
    </w:r>
    <w:r>
      <w:rPr>
        <w:b/>
        <w:i/>
        <w:color w:val="990000"/>
        <w:sz w:val="36"/>
        <w:szCs w:val="36"/>
      </w:rPr>
      <w:tab/>
    </w:r>
    <w:r>
      <w:rPr>
        <w:b/>
        <w:i/>
        <w:color w:val="990000"/>
        <w:sz w:val="36"/>
        <w:szCs w:val="36"/>
      </w:rPr>
      <w:tab/>
    </w:r>
  </w:p>
  <w:p w:rsidR="004C7E1C" w:rsidRDefault="00CD1860" w:rsidP="00406BE3">
    <w:pPr>
      <w:pStyle w:val="Header"/>
      <w:tabs>
        <w:tab w:val="left" w:pos="0"/>
      </w:tabs>
      <w:ind w:left="-450"/>
      <w:rPr>
        <w:b/>
        <w:i/>
        <w:color w:val="990000"/>
        <w:sz w:val="36"/>
        <w:szCs w:val="36"/>
      </w:rPr>
    </w:pPr>
    <w:r>
      <w:rPr>
        <w:b/>
        <w:i/>
        <w:color w:val="990000"/>
        <w:sz w:val="36"/>
        <w:szCs w:val="36"/>
      </w:rPr>
      <w:tab/>
    </w:r>
  </w:p>
  <w:p w:rsidR="00CD1860" w:rsidRPr="00B518B8" w:rsidRDefault="00CD1860" w:rsidP="00406BE3">
    <w:pPr>
      <w:pStyle w:val="Header"/>
      <w:tabs>
        <w:tab w:val="left" w:pos="0"/>
      </w:tabs>
      <w:ind w:left="-450"/>
      <w:rPr>
        <w:b/>
        <w:i/>
        <w:color w:val="990000"/>
        <w:sz w:val="36"/>
        <w:szCs w:val="36"/>
      </w:rPr>
    </w:pPr>
    <w:r>
      <w:rPr>
        <w:b/>
        <w:i/>
        <w:color w:val="990000"/>
        <w:sz w:val="36"/>
        <w:szCs w:val="36"/>
      </w:rPr>
      <w:t>AZNet</w:t>
    </w:r>
    <w:r w:rsidRPr="00B518B8">
      <w:rPr>
        <w:b/>
        <w:i/>
        <w:color w:val="990000"/>
        <w:sz w:val="36"/>
        <w:szCs w:val="36"/>
      </w:rPr>
      <w:t xml:space="preserve"> II – Arizona Network</w:t>
    </w:r>
  </w:p>
  <w:p w:rsidR="00CD1860" w:rsidRDefault="00CD1860" w:rsidP="00406BE3">
    <w:pPr>
      <w:pStyle w:val="Header"/>
      <w:tabs>
        <w:tab w:val="left" w:pos="0"/>
      </w:tabs>
      <w:ind w:left="-450"/>
      <w:rPr>
        <w:b/>
        <w:color w:val="990000"/>
      </w:rPr>
    </w:pPr>
  </w:p>
  <w:p w:rsidR="00CD1860" w:rsidRPr="00406BE3" w:rsidRDefault="00CD1860" w:rsidP="00406BE3">
    <w:pPr>
      <w:pStyle w:val="Header"/>
      <w:tabs>
        <w:tab w:val="left" w:pos="0"/>
      </w:tabs>
      <w:ind w:left="-450"/>
      <w:rPr>
        <w:b/>
        <w:color w:val="99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6EC"/>
    <w:multiLevelType w:val="hybridMultilevel"/>
    <w:tmpl w:val="2F6225C2"/>
    <w:lvl w:ilvl="0" w:tplc="FFC8376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9D262B4"/>
    <w:multiLevelType w:val="hybridMultilevel"/>
    <w:tmpl w:val="DF3A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1198A"/>
    <w:multiLevelType w:val="hybridMultilevel"/>
    <w:tmpl w:val="78A2790A"/>
    <w:lvl w:ilvl="0" w:tplc="E188C9D0">
      <w:start w:val="1"/>
      <w:numFmt w:val="decimal"/>
      <w:lvlText w:val="%1."/>
      <w:lvlJc w:val="left"/>
      <w:pPr>
        <w:ind w:left="495" w:hanging="360"/>
      </w:pPr>
      <w:rPr>
        <w:rFonts w:ascii="Calibri" w:eastAsia="Times New Roman" w:hAnsi="Calibri" w:cs="Arial"/>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111456C7"/>
    <w:multiLevelType w:val="hybridMultilevel"/>
    <w:tmpl w:val="C0DC6BA8"/>
    <w:lvl w:ilvl="0" w:tplc="37B219A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F6205"/>
    <w:multiLevelType w:val="hybridMultilevel"/>
    <w:tmpl w:val="B394C1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E94309"/>
    <w:multiLevelType w:val="hybridMultilevel"/>
    <w:tmpl w:val="4222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D10EB"/>
    <w:multiLevelType w:val="hybridMultilevel"/>
    <w:tmpl w:val="723E524E"/>
    <w:lvl w:ilvl="0" w:tplc="DB88967A">
      <w:start w:val="1"/>
      <w:numFmt w:val="decimal"/>
      <w:lvlText w:val="%1."/>
      <w:lvlJc w:val="left"/>
      <w:pPr>
        <w:ind w:left="495" w:hanging="360"/>
      </w:pPr>
      <w:rPr>
        <w:rFonts w:ascii="Arial" w:eastAsia="Times New Roman" w:hAnsi="Arial" w:cs="Arial"/>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15:restartNumberingAfterBreak="0">
    <w:nsid w:val="28B02E5E"/>
    <w:multiLevelType w:val="hybridMultilevel"/>
    <w:tmpl w:val="FF3A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37D67"/>
    <w:multiLevelType w:val="hybridMultilevel"/>
    <w:tmpl w:val="3CCA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C0873"/>
    <w:multiLevelType w:val="hybridMultilevel"/>
    <w:tmpl w:val="BBF2D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FC120F"/>
    <w:multiLevelType w:val="hybridMultilevel"/>
    <w:tmpl w:val="0406C0B6"/>
    <w:lvl w:ilvl="0" w:tplc="EECCBC0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95F9B"/>
    <w:multiLevelType w:val="hybridMultilevel"/>
    <w:tmpl w:val="2EBE8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BA4B8A"/>
    <w:multiLevelType w:val="hybridMultilevel"/>
    <w:tmpl w:val="FE2E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3724A"/>
    <w:multiLevelType w:val="hybridMultilevel"/>
    <w:tmpl w:val="240A0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47835"/>
    <w:multiLevelType w:val="hybridMultilevel"/>
    <w:tmpl w:val="BD6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F1B10"/>
    <w:multiLevelType w:val="hybridMultilevel"/>
    <w:tmpl w:val="D116E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9F2711"/>
    <w:multiLevelType w:val="hybridMultilevel"/>
    <w:tmpl w:val="C84E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E5DC8"/>
    <w:multiLevelType w:val="hybridMultilevel"/>
    <w:tmpl w:val="20108C1C"/>
    <w:lvl w:ilvl="0" w:tplc="53BA64D2">
      <w:start w:val="1"/>
      <w:numFmt w:val="bullet"/>
      <w:lvlText w:val=""/>
      <w:lvlJc w:val="left"/>
      <w:pPr>
        <w:tabs>
          <w:tab w:val="num" w:pos="2520"/>
        </w:tabs>
        <w:ind w:left="2520" w:hanging="360"/>
      </w:pPr>
      <w:rPr>
        <w:rFonts w:ascii="Symbol" w:hAnsi="Symbol" w:hint="default"/>
        <w:sz w:val="20"/>
      </w:rPr>
    </w:lvl>
    <w:lvl w:ilvl="1" w:tplc="2FFE96EC">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4B426289"/>
    <w:multiLevelType w:val="hybridMultilevel"/>
    <w:tmpl w:val="FC98F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F6825"/>
    <w:multiLevelType w:val="hybridMultilevel"/>
    <w:tmpl w:val="1C02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72A61"/>
    <w:multiLevelType w:val="hybridMultilevel"/>
    <w:tmpl w:val="086A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C0C5B"/>
    <w:multiLevelType w:val="hybridMultilevel"/>
    <w:tmpl w:val="71FE7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F8798E"/>
    <w:multiLevelType w:val="hybridMultilevel"/>
    <w:tmpl w:val="ACD4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212B8"/>
    <w:multiLevelType w:val="hybridMultilevel"/>
    <w:tmpl w:val="059A5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D0663"/>
    <w:multiLevelType w:val="hybridMultilevel"/>
    <w:tmpl w:val="66540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12652"/>
    <w:multiLevelType w:val="hybridMultilevel"/>
    <w:tmpl w:val="7D2EF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42756"/>
    <w:multiLevelType w:val="hybridMultilevel"/>
    <w:tmpl w:val="B5423722"/>
    <w:lvl w:ilvl="0" w:tplc="2FFE96E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2484A"/>
    <w:multiLevelType w:val="hybridMultilevel"/>
    <w:tmpl w:val="54F4AB2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29" w15:restartNumberingAfterBreak="0">
    <w:nsid w:val="6CAD786E"/>
    <w:multiLevelType w:val="hybridMultilevel"/>
    <w:tmpl w:val="DADCA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16077"/>
    <w:multiLevelType w:val="hybridMultilevel"/>
    <w:tmpl w:val="A3DA5E86"/>
    <w:lvl w:ilvl="0" w:tplc="CA5A9B1E">
      <w:start w:val="1"/>
      <w:numFmt w:val="decimal"/>
      <w:lvlText w:val="%1."/>
      <w:lvlJc w:val="left"/>
      <w:pPr>
        <w:ind w:left="540" w:hanging="360"/>
      </w:pPr>
      <w:rPr>
        <w:rFonts w:ascii="Arial" w:eastAsia="Times New Roman" w:hAnsi="Arial" w:cs="Arial"/>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46230EC"/>
    <w:multiLevelType w:val="hybridMultilevel"/>
    <w:tmpl w:val="F9AA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061CAA"/>
    <w:multiLevelType w:val="hybridMultilevel"/>
    <w:tmpl w:val="949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A003E"/>
    <w:multiLevelType w:val="hybridMultilevel"/>
    <w:tmpl w:val="579433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7DBC68B9"/>
    <w:multiLevelType w:val="hybridMultilevel"/>
    <w:tmpl w:val="C914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1"/>
  </w:num>
  <w:num w:numId="4">
    <w:abstractNumId w:val="10"/>
  </w:num>
  <w:num w:numId="5">
    <w:abstractNumId w:val="12"/>
  </w:num>
  <w:num w:numId="6">
    <w:abstractNumId w:val="13"/>
  </w:num>
  <w:num w:numId="7">
    <w:abstractNumId w:val="8"/>
  </w:num>
  <w:num w:numId="8">
    <w:abstractNumId w:val="14"/>
  </w:num>
  <w:num w:numId="9">
    <w:abstractNumId w:val="31"/>
  </w:num>
  <w:num w:numId="10">
    <w:abstractNumId w:val="7"/>
  </w:num>
  <w:num w:numId="11">
    <w:abstractNumId w:val="28"/>
  </w:num>
  <w:num w:numId="12">
    <w:abstractNumId w:val="17"/>
  </w:num>
  <w:num w:numId="13">
    <w:abstractNumId w:val="22"/>
  </w:num>
  <w:num w:numId="14">
    <w:abstractNumId w:val="24"/>
  </w:num>
  <w:num w:numId="15">
    <w:abstractNumId w:val="26"/>
  </w:num>
  <w:num w:numId="16">
    <w:abstractNumId w:val="9"/>
  </w:num>
  <w:num w:numId="17">
    <w:abstractNumId w:val="25"/>
  </w:num>
  <w:num w:numId="18">
    <w:abstractNumId w:val="1"/>
  </w:num>
  <w:num w:numId="19">
    <w:abstractNumId w:val="4"/>
  </w:num>
  <w:num w:numId="20">
    <w:abstractNumId w:val="11"/>
  </w:num>
  <w:num w:numId="21">
    <w:abstractNumId w:val="23"/>
  </w:num>
  <w:num w:numId="22">
    <w:abstractNumId w:val="18"/>
  </w:num>
  <w:num w:numId="23">
    <w:abstractNumId w:val="5"/>
  </w:num>
  <w:num w:numId="24">
    <w:abstractNumId w:val="30"/>
  </w:num>
  <w:num w:numId="25">
    <w:abstractNumId w:val="2"/>
  </w:num>
  <w:num w:numId="26">
    <w:abstractNumId w:val="6"/>
  </w:num>
  <w:num w:numId="27">
    <w:abstractNumId w:val="33"/>
  </w:num>
  <w:num w:numId="28">
    <w:abstractNumId w:val="15"/>
  </w:num>
  <w:num w:numId="29">
    <w:abstractNumId w:val="0"/>
  </w:num>
  <w:num w:numId="30">
    <w:abstractNumId w:val="32"/>
  </w:num>
  <w:num w:numId="31">
    <w:abstractNumId w:val="28"/>
  </w:num>
  <w:num w:numId="32">
    <w:abstractNumId w:val="28"/>
  </w:num>
  <w:num w:numId="33">
    <w:abstractNumId w:val="3"/>
  </w:num>
  <w:num w:numId="34">
    <w:abstractNumId w:val="20"/>
  </w:num>
  <w:num w:numId="35">
    <w:abstractNumId w:val="34"/>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18"/>
    <w:rsid w:val="00005F8F"/>
    <w:rsid w:val="00011484"/>
    <w:rsid w:val="000157C2"/>
    <w:rsid w:val="00021E33"/>
    <w:rsid w:val="00022619"/>
    <w:rsid w:val="00024B56"/>
    <w:rsid w:val="00025C3F"/>
    <w:rsid w:val="00031FE9"/>
    <w:rsid w:val="000374CD"/>
    <w:rsid w:val="000423AB"/>
    <w:rsid w:val="000452BD"/>
    <w:rsid w:val="00047F07"/>
    <w:rsid w:val="00052A1B"/>
    <w:rsid w:val="00053F14"/>
    <w:rsid w:val="0005472B"/>
    <w:rsid w:val="00060292"/>
    <w:rsid w:val="000617B9"/>
    <w:rsid w:val="0006213C"/>
    <w:rsid w:val="00063359"/>
    <w:rsid w:val="0006421F"/>
    <w:rsid w:val="00065112"/>
    <w:rsid w:val="000675CF"/>
    <w:rsid w:val="000779AF"/>
    <w:rsid w:val="000810F6"/>
    <w:rsid w:val="0008112F"/>
    <w:rsid w:val="000830EB"/>
    <w:rsid w:val="00092771"/>
    <w:rsid w:val="0009361C"/>
    <w:rsid w:val="000A4882"/>
    <w:rsid w:val="000A6369"/>
    <w:rsid w:val="000B12AB"/>
    <w:rsid w:val="000B3D5B"/>
    <w:rsid w:val="000C0CA1"/>
    <w:rsid w:val="000C147A"/>
    <w:rsid w:val="000C1CF8"/>
    <w:rsid w:val="000C355A"/>
    <w:rsid w:val="000C4DBF"/>
    <w:rsid w:val="000D08D2"/>
    <w:rsid w:val="000D20A9"/>
    <w:rsid w:val="000D36F8"/>
    <w:rsid w:val="000D4B13"/>
    <w:rsid w:val="000D6A37"/>
    <w:rsid w:val="000E125F"/>
    <w:rsid w:val="000E177C"/>
    <w:rsid w:val="000E24F9"/>
    <w:rsid w:val="000E2877"/>
    <w:rsid w:val="000E3A20"/>
    <w:rsid w:val="000E796F"/>
    <w:rsid w:val="000F3375"/>
    <w:rsid w:val="000F5929"/>
    <w:rsid w:val="00102229"/>
    <w:rsid w:val="00107F9B"/>
    <w:rsid w:val="00113D85"/>
    <w:rsid w:val="00114582"/>
    <w:rsid w:val="0011744E"/>
    <w:rsid w:val="00121706"/>
    <w:rsid w:val="00123438"/>
    <w:rsid w:val="00124B9B"/>
    <w:rsid w:val="0012592E"/>
    <w:rsid w:val="001300D4"/>
    <w:rsid w:val="00130CCC"/>
    <w:rsid w:val="00131715"/>
    <w:rsid w:val="00141B5C"/>
    <w:rsid w:val="00142284"/>
    <w:rsid w:val="00142C42"/>
    <w:rsid w:val="00145214"/>
    <w:rsid w:val="00145C2C"/>
    <w:rsid w:val="00146D84"/>
    <w:rsid w:val="00147B0D"/>
    <w:rsid w:val="00150B86"/>
    <w:rsid w:val="0015718B"/>
    <w:rsid w:val="00157A9F"/>
    <w:rsid w:val="0016155F"/>
    <w:rsid w:val="001617CE"/>
    <w:rsid w:val="00165626"/>
    <w:rsid w:val="00174419"/>
    <w:rsid w:val="00175431"/>
    <w:rsid w:val="00175DA3"/>
    <w:rsid w:val="00176A5E"/>
    <w:rsid w:val="00182E50"/>
    <w:rsid w:val="00183747"/>
    <w:rsid w:val="00185531"/>
    <w:rsid w:val="0018574F"/>
    <w:rsid w:val="0018592A"/>
    <w:rsid w:val="00191BE5"/>
    <w:rsid w:val="00191D9F"/>
    <w:rsid w:val="001925B8"/>
    <w:rsid w:val="001925F0"/>
    <w:rsid w:val="001928EA"/>
    <w:rsid w:val="001947A4"/>
    <w:rsid w:val="001948DC"/>
    <w:rsid w:val="001A0424"/>
    <w:rsid w:val="001A083B"/>
    <w:rsid w:val="001A4929"/>
    <w:rsid w:val="001A5710"/>
    <w:rsid w:val="001A5E58"/>
    <w:rsid w:val="001B12E2"/>
    <w:rsid w:val="001B37BB"/>
    <w:rsid w:val="001C14DB"/>
    <w:rsid w:val="001C799A"/>
    <w:rsid w:val="001D4121"/>
    <w:rsid w:val="001D4283"/>
    <w:rsid w:val="001D4CA9"/>
    <w:rsid w:val="001D545C"/>
    <w:rsid w:val="001E0ABF"/>
    <w:rsid w:val="001E4549"/>
    <w:rsid w:val="001E706E"/>
    <w:rsid w:val="001F3E7E"/>
    <w:rsid w:val="001F6B75"/>
    <w:rsid w:val="001F6D3A"/>
    <w:rsid w:val="00205801"/>
    <w:rsid w:val="002061B7"/>
    <w:rsid w:val="00207FC2"/>
    <w:rsid w:val="00213AF8"/>
    <w:rsid w:val="002160B0"/>
    <w:rsid w:val="00217E93"/>
    <w:rsid w:val="00224415"/>
    <w:rsid w:val="002253BB"/>
    <w:rsid w:val="002317A0"/>
    <w:rsid w:val="00232A91"/>
    <w:rsid w:val="0023490C"/>
    <w:rsid w:val="00234C1B"/>
    <w:rsid w:val="00237193"/>
    <w:rsid w:val="00237A4D"/>
    <w:rsid w:val="002419AE"/>
    <w:rsid w:val="0024566D"/>
    <w:rsid w:val="00245AED"/>
    <w:rsid w:val="00260575"/>
    <w:rsid w:val="0026172E"/>
    <w:rsid w:val="00261E77"/>
    <w:rsid w:val="0026256A"/>
    <w:rsid w:val="00262860"/>
    <w:rsid w:val="00264A32"/>
    <w:rsid w:val="00266676"/>
    <w:rsid w:val="002668F7"/>
    <w:rsid w:val="0027139A"/>
    <w:rsid w:val="0027274C"/>
    <w:rsid w:val="002767CF"/>
    <w:rsid w:val="00276A0D"/>
    <w:rsid w:val="002804CE"/>
    <w:rsid w:val="00280744"/>
    <w:rsid w:val="0028074B"/>
    <w:rsid w:val="00282B94"/>
    <w:rsid w:val="00285DC9"/>
    <w:rsid w:val="002878E1"/>
    <w:rsid w:val="00287E0C"/>
    <w:rsid w:val="002922C1"/>
    <w:rsid w:val="00294A14"/>
    <w:rsid w:val="002A4883"/>
    <w:rsid w:val="002A71DF"/>
    <w:rsid w:val="002B2B2C"/>
    <w:rsid w:val="002B4128"/>
    <w:rsid w:val="002B44D9"/>
    <w:rsid w:val="002B7184"/>
    <w:rsid w:val="002C02AC"/>
    <w:rsid w:val="002C0C72"/>
    <w:rsid w:val="002C0DA5"/>
    <w:rsid w:val="002C1C1D"/>
    <w:rsid w:val="002C305B"/>
    <w:rsid w:val="002C6F48"/>
    <w:rsid w:val="002D2C3E"/>
    <w:rsid w:val="002D3F10"/>
    <w:rsid w:val="002D3F5B"/>
    <w:rsid w:val="002D69E3"/>
    <w:rsid w:val="002E1762"/>
    <w:rsid w:val="002E50B2"/>
    <w:rsid w:val="002E6BA1"/>
    <w:rsid w:val="00303A4F"/>
    <w:rsid w:val="003069D3"/>
    <w:rsid w:val="00307F33"/>
    <w:rsid w:val="00314753"/>
    <w:rsid w:val="003177E3"/>
    <w:rsid w:val="00320B04"/>
    <w:rsid w:val="00323C87"/>
    <w:rsid w:val="00324BEE"/>
    <w:rsid w:val="00325CF4"/>
    <w:rsid w:val="00333185"/>
    <w:rsid w:val="00333EB6"/>
    <w:rsid w:val="0033422A"/>
    <w:rsid w:val="00334EB9"/>
    <w:rsid w:val="003371B1"/>
    <w:rsid w:val="00341CE3"/>
    <w:rsid w:val="00342B3A"/>
    <w:rsid w:val="00344FEF"/>
    <w:rsid w:val="00346009"/>
    <w:rsid w:val="00346638"/>
    <w:rsid w:val="003501EA"/>
    <w:rsid w:val="003514A7"/>
    <w:rsid w:val="003518F7"/>
    <w:rsid w:val="00352961"/>
    <w:rsid w:val="00355770"/>
    <w:rsid w:val="00364B58"/>
    <w:rsid w:val="00365885"/>
    <w:rsid w:val="003675BF"/>
    <w:rsid w:val="003676E4"/>
    <w:rsid w:val="0037389F"/>
    <w:rsid w:val="003739CA"/>
    <w:rsid w:val="00373F46"/>
    <w:rsid w:val="003768AB"/>
    <w:rsid w:val="00377883"/>
    <w:rsid w:val="00377A2C"/>
    <w:rsid w:val="00380851"/>
    <w:rsid w:val="0038180E"/>
    <w:rsid w:val="00382373"/>
    <w:rsid w:val="003875D7"/>
    <w:rsid w:val="003877F0"/>
    <w:rsid w:val="00391476"/>
    <w:rsid w:val="00392F50"/>
    <w:rsid w:val="00396720"/>
    <w:rsid w:val="003976FD"/>
    <w:rsid w:val="003A4711"/>
    <w:rsid w:val="003A52B7"/>
    <w:rsid w:val="003A612F"/>
    <w:rsid w:val="003A67EB"/>
    <w:rsid w:val="003B045D"/>
    <w:rsid w:val="003B372C"/>
    <w:rsid w:val="003B5726"/>
    <w:rsid w:val="003B5A6E"/>
    <w:rsid w:val="003C04C4"/>
    <w:rsid w:val="003C7283"/>
    <w:rsid w:val="003D021E"/>
    <w:rsid w:val="003D1A75"/>
    <w:rsid w:val="003D4644"/>
    <w:rsid w:val="003D472E"/>
    <w:rsid w:val="003D5FA3"/>
    <w:rsid w:val="003D6B31"/>
    <w:rsid w:val="003D7D0A"/>
    <w:rsid w:val="003E2502"/>
    <w:rsid w:val="003E3A65"/>
    <w:rsid w:val="003E4447"/>
    <w:rsid w:val="003E71EC"/>
    <w:rsid w:val="003F2BAC"/>
    <w:rsid w:val="003F3614"/>
    <w:rsid w:val="003F4B27"/>
    <w:rsid w:val="003F652A"/>
    <w:rsid w:val="003F7568"/>
    <w:rsid w:val="00400410"/>
    <w:rsid w:val="00402421"/>
    <w:rsid w:val="00406BE3"/>
    <w:rsid w:val="00411128"/>
    <w:rsid w:val="00411816"/>
    <w:rsid w:val="00412E35"/>
    <w:rsid w:val="00413956"/>
    <w:rsid w:val="00417736"/>
    <w:rsid w:val="004203FB"/>
    <w:rsid w:val="00420BFF"/>
    <w:rsid w:val="004220E9"/>
    <w:rsid w:val="004308CB"/>
    <w:rsid w:val="00432EFC"/>
    <w:rsid w:val="00434D95"/>
    <w:rsid w:val="004359A3"/>
    <w:rsid w:val="00435A3F"/>
    <w:rsid w:val="004410DC"/>
    <w:rsid w:val="004423EF"/>
    <w:rsid w:val="004429B5"/>
    <w:rsid w:val="00443945"/>
    <w:rsid w:val="00444B3E"/>
    <w:rsid w:val="00445B0D"/>
    <w:rsid w:val="00451781"/>
    <w:rsid w:val="00453A30"/>
    <w:rsid w:val="004626CA"/>
    <w:rsid w:val="00462E62"/>
    <w:rsid w:val="00464F3D"/>
    <w:rsid w:val="00465A88"/>
    <w:rsid w:val="00465AB7"/>
    <w:rsid w:val="0047237D"/>
    <w:rsid w:val="004737A8"/>
    <w:rsid w:val="004813F9"/>
    <w:rsid w:val="00482C76"/>
    <w:rsid w:val="00483882"/>
    <w:rsid w:val="00484E08"/>
    <w:rsid w:val="00486582"/>
    <w:rsid w:val="00486C14"/>
    <w:rsid w:val="00491845"/>
    <w:rsid w:val="00492071"/>
    <w:rsid w:val="00492A14"/>
    <w:rsid w:val="00492EEF"/>
    <w:rsid w:val="00497B9F"/>
    <w:rsid w:val="004A0AD4"/>
    <w:rsid w:val="004A1779"/>
    <w:rsid w:val="004A24DB"/>
    <w:rsid w:val="004A6C18"/>
    <w:rsid w:val="004A7D70"/>
    <w:rsid w:val="004B1FD2"/>
    <w:rsid w:val="004B3538"/>
    <w:rsid w:val="004B5573"/>
    <w:rsid w:val="004B5890"/>
    <w:rsid w:val="004C04EB"/>
    <w:rsid w:val="004C7E1C"/>
    <w:rsid w:val="004D40D3"/>
    <w:rsid w:val="004D4903"/>
    <w:rsid w:val="004D5193"/>
    <w:rsid w:val="004E16A5"/>
    <w:rsid w:val="004E1C4C"/>
    <w:rsid w:val="004E1FEC"/>
    <w:rsid w:val="004E2887"/>
    <w:rsid w:val="004E2E6B"/>
    <w:rsid w:val="004E3585"/>
    <w:rsid w:val="004E3700"/>
    <w:rsid w:val="004E498A"/>
    <w:rsid w:val="004E63BA"/>
    <w:rsid w:val="004F630B"/>
    <w:rsid w:val="004F7AA0"/>
    <w:rsid w:val="004F7BA1"/>
    <w:rsid w:val="004F7F00"/>
    <w:rsid w:val="005005E6"/>
    <w:rsid w:val="00505102"/>
    <w:rsid w:val="00510F62"/>
    <w:rsid w:val="005115E3"/>
    <w:rsid w:val="0052728B"/>
    <w:rsid w:val="00531441"/>
    <w:rsid w:val="005338CF"/>
    <w:rsid w:val="00536DC2"/>
    <w:rsid w:val="00544FF8"/>
    <w:rsid w:val="00554890"/>
    <w:rsid w:val="005560CD"/>
    <w:rsid w:val="0056266E"/>
    <w:rsid w:val="00563700"/>
    <w:rsid w:val="00564609"/>
    <w:rsid w:val="00564910"/>
    <w:rsid w:val="005666DD"/>
    <w:rsid w:val="00571192"/>
    <w:rsid w:val="005746E4"/>
    <w:rsid w:val="00575C33"/>
    <w:rsid w:val="00577D63"/>
    <w:rsid w:val="00580A76"/>
    <w:rsid w:val="00583562"/>
    <w:rsid w:val="005836F9"/>
    <w:rsid w:val="00586A3B"/>
    <w:rsid w:val="00586C58"/>
    <w:rsid w:val="00587430"/>
    <w:rsid w:val="005901B3"/>
    <w:rsid w:val="00597957"/>
    <w:rsid w:val="005A04A3"/>
    <w:rsid w:val="005A4E68"/>
    <w:rsid w:val="005A68DA"/>
    <w:rsid w:val="005A7C8B"/>
    <w:rsid w:val="005B1D81"/>
    <w:rsid w:val="005B3676"/>
    <w:rsid w:val="005B5953"/>
    <w:rsid w:val="005B7DE4"/>
    <w:rsid w:val="005C3BD4"/>
    <w:rsid w:val="005C7693"/>
    <w:rsid w:val="005D02C7"/>
    <w:rsid w:val="005D2A67"/>
    <w:rsid w:val="005D319C"/>
    <w:rsid w:val="005D3E91"/>
    <w:rsid w:val="005D4113"/>
    <w:rsid w:val="005D4BCA"/>
    <w:rsid w:val="005D519F"/>
    <w:rsid w:val="005E1A4B"/>
    <w:rsid w:val="005E4FC8"/>
    <w:rsid w:val="005F18A9"/>
    <w:rsid w:val="005F38B8"/>
    <w:rsid w:val="005F49F9"/>
    <w:rsid w:val="005F5D15"/>
    <w:rsid w:val="005F6DCD"/>
    <w:rsid w:val="00600302"/>
    <w:rsid w:val="00602961"/>
    <w:rsid w:val="00602E1B"/>
    <w:rsid w:val="00603909"/>
    <w:rsid w:val="00604EE3"/>
    <w:rsid w:val="00606094"/>
    <w:rsid w:val="00613E21"/>
    <w:rsid w:val="00614DC4"/>
    <w:rsid w:val="00617779"/>
    <w:rsid w:val="00621CA3"/>
    <w:rsid w:val="006229C9"/>
    <w:rsid w:val="00625824"/>
    <w:rsid w:val="00634198"/>
    <w:rsid w:val="00634CE4"/>
    <w:rsid w:val="006378C3"/>
    <w:rsid w:val="006416E8"/>
    <w:rsid w:val="00641EFD"/>
    <w:rsid w:val="0065116A"/>
    <w:rsid w:val="006521FD"/>
    <w:rsid w:val="00652EC3"/>
    <w:rsid w:val="006536A9"/>
    <w:rsid w:val="006550EC"/>
    <w:rsid w:val="00656AA6"/>
    <w:rsid w:val="006602FE"/>
    <w:rsid w:val="00680196"/>
    <w:rsid w:val="0068129E"/>
    <w:rsid w:val="006857BD"/>
    <w:rsid w:val="0068655B"/>
    <w:rsid w:val="00686AA3"/>
    <w:rsid w:val="00691C4E"/>
    <w:rsid w:val="006939FA"/>
    <w:rsid w:val="00697249"/>
    <w:rsid w:val="00697A95"/>
    <w:rsid w:val="006A35A3"/>
    <w:rsid w:val="006A5418"/>
    <w:rsid w:val="006A6001"/>
    <w:rsid w:val="006A65CF"/>
    <w:rsid w:val="006B305E"/>
    <w:rsid w:val="006B3AFE"/>
    <w:rsid w:val="006B5999"/>
    <w:rsid w:val="006B6869"/>
    <w:rsid w:val="006B7F88"/>
    <w:rsid w:val="006C0D98"/>
    <w:rsid w:val="006C140F"/>
    <w:rsid w:val="006C456C"/>
    <w:rsid w:val="006C4C14"/>
    <w:rsid w:val="006C7403"/>
    <w:rsid w:val="006C7AB5"/>
    <w:rsid w:val="006C7B0E"/>
    <w:rsid w:val="006D6914"/>
    <w:rsid w:val="006D6C8E"/>
    <w:rsid w:val="006E3A2D"/>
    <w:rsid w:val="006F1CE8"/>
    <w:rsid w:val="006F24E8"/>
    <w:rsid w:val="006F65F4"/>
    <w:rsid w:val="007001FC"/>
    <w:rsid w:val="00701033"/>
    <w:rsid w:val="00714352"/>
    <w:rsid w:val="00714871"/>
    <w:rsid w:val="0071720E"/>
    <w:rsid w:val="00720359"/>
    <w:rsid w:val="00720FC4"/>
    <w:rsid w:val="00725350"/>
    <w:rsid w:val="00725B8B"/>
    <w:rsid w:val="00727189"/>
    <w:rsid w:val="00730194"/>
    <w:rsid w:val="007306BB"/>
    <w:rsid w:val="007323DC"/>
    <w:rsid w:val="00732672"/>
    <w:rsid w:val="00732740"/>
    <w:rsid w:val="00737409"/>
    <w:rsid w:val="007377D1"/>
    <w:rsid w:val="00743C61"/>
    <w:rsid w:val="007476D1"/>
    <w:rsid w:val="00747BA4"/>
    <w:rsid w:val="0075216F"/>
    <w:rsid w:val="00752772"/>
    <w:rsid w:val="00752F7F"/>
    <w:rsid w:val="0075459F"/>
    <w:rsid w:val="00755CB6"/>
    <w:rsid w:val="0075724C"/>
    <w:rsid w:val="0076342A"/>
    <w:rsid w:val="007643B2"/>
    <w:rsid w:val="00766175"/>
    <w:rsid w:val="0077008B"/>
    <w:rsid w:val="00772526"/>
    <w:rsid w:val="00776C1A"/>
    <w:rsid w:val="00777A3D"/>
    <w:rsid w:val="007805AA"/>
    <w:rsid w:val="00780C9E"/>
    <w:rsid w:val="007864CC"/>
    <w:rsid w:val="00795E20"/>
    <w:rsid w:val="007A319C"/>
    <w:rsid w:val="007A42AB"/>
    <w:rsid w:val="007A5B5B"/>
    <w:rsid w:val="007A5ED8"/>
    <w:rsid w:val="007B0D80"/>
    <w:rsid w:val="007B0EAC"/>
    <w:rsid w:val="007B365D"/>
    <w:rsid w:val="007B37A5"/>
    <w:rsid w:val="007B49CD"/>
    <w:rsid w:val="007B641C"/>
    <w:rsid w:val="007B68CA"/>
    <w:rsid w:val="007B6FE9"/>
    <w:rsid w:val="007C3C56"/>
    <w:rsid w:val="007C3E9F"/>
    <w:rsid w:val="007C4AD8"/>
    <w:rsid w:val="007C4CAA"/>
    <w:rsid w:val="007C68AA"/>
    <w:rsid w:val="007C7C80"/>
    <w:rsid w:val="007D1BAC"/>
    <w:rsid w:val="007D3A08"/>
    <w:rsid w:val="007D3F16"/>
    <w:rsid w:val="007D4D86"/>
    <w:rsid w:val="007D5C8D"/>
    <w:rsid w:val="007E2D8E"/>
    <w:rsid w:val="007E3599"/>
    <w:rsid w:val="007E7796"/>
    <w:rsid w:val="007F22A1"/>
    <w:rsid w:val="007F42AB"/>
    <w:rsid w:val="007F42D2"/>
    <w:rsid w:val="007F5E89"/>
    <w:rsid w:val="0080462E"/>
    <w:rsid w:val="00805094"/>
    <w:rsid w:val="00805218"/>
    <w:rsid w:val="00810EB6"/>
    <w:rsid w:val="00812D3E"/>
    <w:rsid w:val="008134B2"/>
    <w:rsid w:val="0081479F"/>
    <w:rsid w:val="00814E14"/>
    <w:rsid w:val="00816CD8"/>
    <w:rsid w:val="0082004C"/>
    <w:rsid w:val="00821101"/>
    <w:rsid w:val="008213CE"/>
    <w:rsid w:val="008222ED"/>
    <w:rsid w:val="00822E51"/>
    <w:rsid w:val="00822F0E"/>
    <w:rsid w:val="00823FE4"/>
    <w:rsid w:val="00832029"/>
    <w:rsid w:val="00832088"/>
    <w:rsid w:val="008453AB"/>
    <w:rsid w:val="00850703"/>
    <w:rsid w:val="00851454"/>
    <w:rsid w:val="008605D6"/>
    <w:rsid w:val="00863462"/>
    <w:rsid w:val="00867E0F"/>
    <w:rsid w:val="00874D25"/>
    <w:rsid w:val="00881A43"/>
    <w:rsid w:val="008845D2"/>
    <w:rsid w:val="00884AA0"/>
    <w:rsid w:val="008869E8"/>
    <w:rsid w:val="008902E5"/>
    <w:rsid w:val="00891F33"/>
    <w:rsid w:val="00892361"/>
    <w:rsid w:val="00893859"/>
    <w:rsid w:val="008939FB"/>
    <w:rsid w:val="00894E4D"/>
    <w:rsid w:val="008960FE"/>
    <w:rsid w:val="0089619F"/>
    <w:rsid w:val="00896E32"/>
    <w:rsid w:val="008A32CE"/>
    <w:rsid w:val="008A67AC"/>
    <w:rsid w:val="008A6D86"/>
    <w:rsid w:val="008A7D60"/>
    <w:rsid w:val="008B15F0"/>
    <w:rsid w:val="008B1786"/>
    <w:rsid w:val="008B2278"/>
    <w:rsid w:val="008B33BD"/>
    <w:rsid w:val="008B3C30"/>
    <w:rsid w:val="008B5D28"/>
    <w:rsid w:val="008C2508"/>
    <w:rsid w:val="008C280A"/>
    <w:rsid w:val="008C33DD"/>
    <w:rsid w:val="008C70C8"/>
    <w:rsid w:val="008D015C"/>
    <w:rsid w:val="008D165D"/>
    <w:rsid w:val="008D1850"/>
    <w:rsid w:val="008D7CE7"/>
    <w:rsid w:val="008E16A1"/>
    <w:rsid w:val="008E64F8"/>
    <w:rsid w:val="008E6925"/>
    <w:rsid w:val="008E7492"/>
    <w:rsid w:val="008F2B3E"/>
    <w:rsid w:val="008F3832"/>
    <w:rsid w:val="00901684"/>
    <w:rsid w:val="00904F6C"/>
    <w:rsid w:val="00905807"/>
    <w:rsid w:val="00907EC0"/>
    <w:rsid w:val="00914D82"/>
    <w:rsid w:val="00914FCE"/>
    <w:rsid w:val="009162EB"/>
    <w:rsid w:val="00921E8A"/>
    <w:rsid w:val="0092207B"/>
    <w:rsid w:val="00932B2C"/>
    <w:rsid w:val="00932CE8"/>
    <w:rsid w:val="0093468B"/>
    <w:rsid w:val="009359FC"/>
    <w:rsid w:val="009367BF"/>
    <w:rsid w:val="009378A8"/>
    <w:rsid w:val="009428EC"/>
    <w:rsid w:val="00942AE2"/>
    <w:rsid w:val="009434B3"/>
    <w:rsid w:val="009440D4"/>
    <w:rsid w:val="00945501"/>
    <w:rsid w:val="009513CC"/>
    <w:rsid w:val="009525BA"/>
    <w:rsid w:val="009601E3"/>
    <w:rsid w:val="00960880"/>
    <w:rsid w:val="00961218"/>
    <w:rsid w:val="00961774"/>
    <w:rsid w:val="00964448"/>
    <w:rsid w:val="009675B2"/>
    <w:rsid w:val="00971C0B"/>
    <w:rsid w:val="0097241C"/>
    <w:rsid w:val="0097469B"/>
    <w:rsid w:val="00974828"/>
    <w:rsid w:val="00975661"/>
    <w:rsid w:val="00976EE2"/>
    <w:rsid w:val="00980BB1"/>
    <w:rsid w:val="00982065"/>
    <w:rsid w:val="00983651"/>
    <w:rsid w:val="00986539"/>
    <w:rsid w:val="00993A23"/>
    <w:rsid w:val="009A1524"/>
    <w:rsid w:val="009A57F1"/>
    <w:rsid w:val="009B0246"/>
    <w:rsid w:val="009B0361"/>
    <w:rsid w:val="009B6A66"/>
    <w:rsid w:val="009B721E"/>
    <w:rsid w:val="009C09E0"/>
    <w:rsid w:val="009C2677"/>
    <w:rsid w:val="009C2859"/>
    <w:rsid w:val="009C513B"/>
    <w:rsid w:val="009C62E7"/>
    <w:rsid w:val="009D1D73"/>
    <w:rsid w:val="009D223E"/>
    <w:rsid w:val="009D4D13"/>
    <w:rsid w:val="009D6449"/>
    <w:rsid w:val="009D774E"/>
    <w:rsid w:val="009E2CAA"/>
    <w:rsid w:val="009E2F6D"/>
    <w:rsid w:val="009E34DB"/>
    <w:rsid w:val="009E3E88"/>
    <w:rsid w:val="009E63B8"/>
    <w:rsid w:val="009E6833"/>
    <w:rsid w:val="009F1A80"/>
    <w:rsid w:val="009F22DE"/>
    <w:rsid w:val="009F31AF"/>
    <w:rsid w:val="009F388C"/>
    <w:rsid w:val="009F4876"/>
    <w:rsid w:val="009F7165"/>
    <w:rsid w:val="009F7351"/>
    <w:rsid w:val="00A03385"/>
    <w:rsid w:val="00A1236A"/>
    <w:rsid w:val="00A15176"/>
    <w:rsid w:val="00A17044"/>
    <w:rsid w:val="00A176E7"/>
    <w:rsid w:val="00A207AC"/>
    <w:rsid w:val="00A23333"/>
    <w:rsid w:val="00A26A0B"/>
    <w:rsid w:val="00A27258"/>
    <w:rsid w:val="00A3402E"/>
    <w:rsid w:val="00A34934"/>
    <w:rsid w:val="00A3502F"/>
    <w:rsid w:val="00A36F7E"/>
    <w:rsid w:val="00A377CF"/>
    <w:rsid w:val="00A404A0"/>
    <w:rsid w:val="00A41089"/>
    <w:rsid w:val="00A43845"/>
    <w:rsid w:val="00A46162"/>
    <w:rsid w:val="00A475F1"/>
    <w:rsid w:val="00A47F20"/>
    <w:rsid w:val="00A51074"/>
    <w:rsid w:val="00A5256C"/>
    <w:rsid w:val="00A54D0A"/>
    <w:rsid w:val="00A5566E"/>
    <w:rsid w:val="00A5783C"/>
    <w:rsid w:val="00A62C32"/>
    <w:rsid w:val="00A642D2"/>
    <w:rsid w:val="00A70826"/>
    <w:rsid w:val="00A71B33"/>
    <w:rsid w:val="00A726F3"/>
    <w:rsid w:val="00A72F27"/>
    <w:rsid w:val="00A730FC"/>
    <w:rsid w:val="00A80E26"/>
    <w:rsid w:val="00A83A1C"/>
    <w:rsid w:val="00A83F4B"/>
    <w:rsid w:val="00A851F2"/>
    <w:rsid w:val="00A877E5"/>
    <w:rsid w:val="00A928FF"/>
    <w:rsid w:val="00A9539C"/>
    <w:rsid w:val="00AA2F21"/>
    <w:rsid w:val="00AA45F2"/>
    <w:rsid w:val="00AA5026"/>
    <w:rsid w:val="00AA52E6"/>
    <w:rsid w:val="00AB1D3C"/>
    <w:rsid w:val="00AB3E12"/>
    <w:rsid w:val="00AB5D47"/>
    <w:rsid w:val="00AB5D8F"/>
    <w:rsid w:val="00AC3F13"/>
    <w:rsid w:val="00AC6A7D"/>
    <w:rsid w:val="00AD743D"/>
    <w:rsid w:val="00AE1BF4"/>
    <w:rsid w:val="00AE6AFC"/>
    <w:rsid w:val="00AE76E4"/>
    <w:rsid w:val="00AF132F"/>
    <w:rsid w:val="00AF3335"/>
    <w:rsid w:val="00AF6319"/>
    <w:rsid w:val="00AF6C5C"/>
    <w:rsid w:val="00B00D7D"/>
    <w:rsid w:val="00B013C7"/>
    <w:rsid w:val="00B03083"/>
    <w:rsid w:val="00B1288D"/>
    <w:rsid w:val="00B175DA"/>
    <w:rsid w:val="00B21AC8"/>
    <w:rsid w:val="00B26B5B"/>
    <w:rsid w:val="00B31F91"/>
    <w:rsid w:val="00B3232A"/>
    <w:rsid w:val="00B32789"/>
    <w:rsid w:val="00B34355"/>
    <w:rsid w:val="00B35682"/>
    <w:rsid w:val="00B36EDC"/>
    <w:rsid w:val="00B40636"/>
    <w:rsid w:val="00B40F35"/>
    <w:rsid w:val="00B42010"/>
    <w:rsid w:val="00B43120"/>
    <w:rsid w:val="00B45410"/>
    <w:rsid w:val="00B474A1"/>
    <w:rsid w:val="00B517DE"/>
    <w:rsid w:val="00B518B8"/>
    <w:rsid w:val="00B533BB"/>
    <w:rsid w:val="00B543BB"/>
    <w:rsid w:val="00B55968"/>
    <w:rsid w:val="00B56E5F"/>
    <w:rsid w:val="00B71812"/>
    <w:rsid w:val="00B72E4A"/>
    <w:rsid w:val="00B72F8C"/>
    <w:rsid w:val="00B7475E"/>
    <w:rsid w:val="00B77A40"/>
    <w:rsid w:val="00B80DDB"/>
    <w:rsid w:val="00B82FC8"/>
    <w:rsid w:val="00B83CB0"/>
    <w:rsid w:val="00B903B7"/>
    <w:rsid w:val="00B907E2"/>
    <w:rsid w:val="00B921A2"/>
    <w:rsid w:val="00BA6F3D"/>
    <w:rsid w:val="00BA7806"/>
    <w:rsid w:val="00BA7CBF"/>
    <w:rsid w:val="00BB4032"/>
    <w:rsid w:val="00BB6252"/>
    <w:rsid w:val="00BC23E9"/>
    <w:rsid w:val="00BC38C9"/>
    <w:rsid w:val="00BC7D2D"/>
    <w:rsid w:val="00BE26D2"/>
    <w:rsid w:val="00BF0FE8"/>
    <w:rsid w:val="00BF1BBA"/>
    <w:rsid w:val="00BF3556"/>
    <w:rsid w:val="00BF76FB"/>
    <w:rsid w:val="00C04653"/>
    <w:rsid w:val="00C0732B"/>
    <w:rsid w:val="00C1204C"/>
    <w:rsid w:val="00C162ED"/>
    <w:rsid w:val="00C17154"/>
    <w:rsid w:val="00C22B45"/>
    <w:rsid w:val="00C25600"/>
    <w:rsid w:val="00C270F5"/>
    <w:rsid w:val="00C27114"/>
    <w:rsid w:val="00C325DA"/>
    <w:rsid w:val="00C36674"/>
    <w:rsid w:val="00C40CD1"/>
    <w:rsid w:val="00C40F73"/>
    <w:rsid w:val="00C443C6"/>
    <w:rsid w:val="00C47A52"/>
    <w:rsid w:val="00C50543"/>
    <w:rsid w:val="00C54A39"/>
    <w:rsid w:val="00C645CF"/>
    <w:rsid w:val="00C67C35"/>
    <w:rsid w:val="00C733A7"/>
    <w:rsid w:val="00C73921"/>
    <w:rsid w:val="00C7573A"/>
    <w:rsid w:val="00C76320"/>
    <w:rsid w:val="00C80242"/>
    <w:rsid w:val="00C80F33"/>
    <w:rsid w:val="00C81813"/>
    <w:rsid w:val="00C843A1"/>
    <w:rsid w:val="00C8477C"/>
    <w:rsid w:val="00C9135E"/>
    <w:rsid w:val="00C923D0"/>
    <w:rsid w:val="00C9259B"/>
    <w:rsid w:val="00C92E96"/>
    <w:rsid w:val="00C942B6"/>
    <w:rsid w:val="00C97376"/>
    <w:rsid w:val="00C97867"/>
    <w:rsid w:val="00CA1781"/>
    <w:rsid w:val="00CA3946"/>
    <w:rsid w:val="00CA470C"/>
    <w:rsid w:val="00CA48A8"/>
    <w:rsid w:val="00CA53FB"/>
    <w:rsid w:val="00CB0188"/>
    <w:rsid w:val="00CB12D0"/>
    <w:rsid w:val="00CB48F9"/>
    <w:rsid w:val="00CB68F0"/>
    <w:rsid w:val="00CB7B60"/>
    <w:rsid w:val="00CC04A4"/>
    <w:rsid w:val="00CC1478"/>
    <w:rsid w:val="00CD09EF"/>
    <w:rsid w:val="00CD1860"/>
    <w:rsid w:val="00CD1BE5"/>
    <w:rsid w:val="00CD1D7B"/>
    <w:rsid w:val="00CD3D1F"/>
    <w:rsid w:val="00CD4287"/>
    <w:rsid w:val="00CD43A7"/>
    <w:rsid w:val="00CD4F27"/>
    <w:rsid w:val="00CD5B5C"/>
    <w:rsid w:val="00CE04E3"/>
    <w:rsid w:val="00CE3950"/>
    <w:rsid w:val="00CE74BD"/>
    <w:rsid w:val="00CF3F36"/>
    <w:rsid w:val="00CF4767"/>
    <w:rsid w:val="00CF5440"/>
    <w:rsid w:val="00CF583F"/>
    <w:rsid w:val="00CF5E63"/>
    <w:rsid w:val="00CF6048"/>
    <w:rsid w:val="00D04B92"/>
    <w:rsid w:val="00D04E98"/>
    <w:rsid w:val="00D1140A"/>
    <w:rsid w:val="00D11C58"/>
    <w:rsid w:val="00D13AE5"/>
    <w:rsid w:val="00D1533D"/>
    <w:rsid w:val="00D2036E"/>
    <w:rsid w:val="00D3160B"/>
    <w:rsid w:val="00D31FF2"/>
    <w:rsid w:val="00D330C4"/>
    <w:rsid w:val="00D375AA"/>
    <w:rsid w:val="00D4100A"/>
    <w:rsid w:val="00D41D71"/>
    <w:rsid w:val="00D421F7"/>
    <w:rsid w:val="00D42D5B"/>
    <w:rsid w:val="00D45307"/>
    <w:rsid w:val="00D51ABF"/>
    <w:rsid w:val="00D52B90"/>
    <w:rsid w:val="00D53A57"/>
    <w:rsid w:val="00D55C85"/>
    <w:rsid w:val="00D57BA3"/>
    <w:rsid w:val="00D62B32"/>
    <w:rsid w:val="00D62EDA"/>
    <w:rsid w:val="00D656DB"/>
    <w:rsid w:val="00D6626C"/>
    <w:rsid w:val="00D67F65"/>
    <w:rsid w:val="00D70435"/>
    <w:rsid w:val="00D70822"/>
    <w:rsid w:val="00D70C3A"/>
    <w:rsid w:val="00D713CF"/>
    <w:rsid w:val="00D72475"/>
    <w:rsid w:val="00D726D5"/>
    <w:rsid w:val="00D72E42"/>
    <w:rsid w:val="00D7617B"/>
    <w:rsid w:val="00D76A12"/>
    <w:rsid w:val="00D81F2D"/>
    <w:rsid w:val="00D87252"/>
    <w:rsid w:val="00D878B6"/>
    <w:rsid w:val="00D90C34"/>
    <w:rsid w:val="00D927BC"/>
    <w:rsid w:val="00D92B92"/>
    <w:rsid w:val="00D94BFD"/>
    <w:rsid w:val="00D95C82"/>
    <w:rsid w:val="00DA0AE7"/>
    <w:rsid w:val="00DA2B3B"/>
    <w:rsid w:val="00DB3D17"/>
    <w:rsid w:val="00DB4430"/>
    <w:rsid w:val="00DB6C3B"/>
    <w:rsid w:val="00DB7BB5"/>
    <w:rsid w:val="00DC16C0"/>
    <w:rsid w:val="00DC2CB1"/>
    <w:rsid w:val="00DC50BF"/>
    <w:rsid w:val="00DC6B40"/>
    <w:rsid w:val="00DD02DC"/>
    <w:rsid w:val="00DD17B5"/>
    <w:rsid w:val="00DD3FA5"/>
    <w:rsid w:val="00DD449A"/>
    <w:rsid w:val="00DD513C"/>
    <w:rsid w:val="00DD66E7"/>
    <w:rsid w:val="00DD7483"/>
    <w:rsid w:val="00DE0EF9"/>
    <w:rsid w:val="00DE14F2"/>
    <w:rsid w:val="00DE1BA2"/>
    <w:rsid w:val="00DE1FCC"/>
    <w:rsid w:val="00DE3AC3"/>
    <w:rsid w:val="00DE406B"/>
    <w:rsid w:val="00DE5038"/>
    <w:rsid w:val="00DE60F1"/>
    <w:rsid w:val="00DE6C68"/>
    <w:rsid w:val="00DF05D9"/>
    <w:rsid w:val="00DF06AD"/>
    <w:rsid w:val="00DF366F"/>
    <w:rsid w:val="00DF6C6B"/>
    <w:rsid w:val="00DF75D8"/>
    <w:rsid w:val="00E013DA"/>
    <w:rsid w:val="00E0393B"/>
    <w:rsid w:val="00E045D9"/>
    <w:rsid w:val="00E05780"/>
    <w:rsid w:val="00E06880"/>
    <w:rsid w:val="00E06F3C"/>
    <w:rsid w:val="00E06F77"/>
    <w:rsid w:val="00E10D6D"/>
    <w:rsid w:val="00E120D0"/>
    <w:rsid w:val="00E13607"/>
    <w:rsid w:val="00E15266"/>
    <w:rsid w:val="00E15ACD"/>
    <w:rsid w:val="00E22C94"/>
    <w:rsid w:val="00E25E9E"/>
    <w:rsid w:val="00E27479"/>
    <w:rsid w:val="00E3001B"/>
    <w:rsid w:val="00E3020B"/>
    <w:rsid w:val="00E35422"/>
    <w:rsid w:val="00E42D7D"/>
    <w:rsid w:val="00E45170"/>
    <w:rsid w:val="00E56224"/>
    <w:rsid w:val="00E641FC"/>
    <w:rsid w:val="00E643A7"/>
    <w:rsid w:val="00E65C71"/>
    <w:rsid w:val="00E74E5D"/>
    <w:rsid w:val="00E75078"/>
    <w:rsid w:val="00E77A2A"/>
    <w:rsid w:val="00E80804"/>
    <w:rsid w:val="00E818C0"/>
    <w:rsid w:val="00E835C1"/>
    <w:rsid w:val="00E83D3F"/>
    <w:rsid w:val="00E90CA2"/>
    <w:rsid w:val="00E9363F"/>
    <w:rsid w:val="00E97E3A"/>
    <w:rsid w:val="00EA4405"/>
    <w:rsid w:val="00EB0FF5"/>
    <w:rsid w:val="00EB1BFD"/>
    <w:rsid w:val="00EB663A"/>
    <w:rsid w:val="00EC246E"/>
    <w:rsid w:val="00EC254E"/>
    <w:rsid w:val="00EC6495"/>
    <w:rsid w:val="00ED0241"/>
    <w:rsid w:val="00ED048E"/>
    <w:rsid w:val="00ED1F5A"/>
    <w:rsid w:val="00ED2A72"/>
    <w:rsid w:val="00ED2C58"/>
    <w:rsid w:val="00ED2FBD"/>
    <w:rsid w:val="00ED3632"/>
    <w:rsid w:val="00ED4BC2"/>
    <w:rsid w:val="00ED5D63"/>
    <w:rsid w:val="00ED6208"/>
    <w:rsid w:val="00ED6C94"/>
    <w:rsid w:val="00EE03E0"/>
    <w:rsid w:val="00EE03ED"/>
    <w:rsid w:val="00EE438C"/>
    <w:rsid w:val="00EE5F98"/>
    <w:rsid w:val="00EE6F23"/>
    <w:rsid w:val="00EF2B4C"/>
    <w:rsid w:val="00EF3E38"/>
    <w:rsid w:val="00EF66C3"/>
    <w:rsid w:val="00F010D2"/>
    <w:rsid w:val="00F01317"/>
    <w:rsid w:val="00F01B36"/>
    <w:rsid w:val="00F02096"/>
    <w:rsid w:val="00F05493"/>
    <w:rsid w:val="00F06393"/>
    <w:rsid w:val="00F116C1"/>
    <w:rsid w:val="00F13933"/>
    <w:rsid w:val="00F21FD7"/>
    <w:rsid w:val="00F2341C"/>
    <w:rsid w:val="00F32E80"/>
    <w:rsid w:val="00F3342C"/>
    <w:rsid w:val="00F341BC"/>
    <w:rsid w:val="00F3686A"/>
    <w:rsid w:val="00F37537"/>
    <w:rsid w:val="00F43975"/>
    <w:rsid w:val="00F4786B"/>
    <w:rsid w:val="00F47BC4"/>
    <w:rsid w:val="00F62FE5"/>
    <w:rsid w:val="00F636E6"/>
    <w:rsid w:val="00F64326"/>
    <w:rsid w:val="00F662D0"/>
    <w:rsid w:val="00F668B6"/>
    <w:rsid w:val="00F66EDE"/>
    <w:rsid w:val="00F7136A"/>
    <w:rsid w:val="00F71A88"/>
    <w:rsid w:val="00F739D2"/>
    <w:rsid w:val="00F757D1"/>
    <w:rsid w:val="00F77141"/>
    <w:rsid w:val="00F77622"/>
    <w:rsid w:val="00F85DC8"/>
    <w:rsid w:val="00F862A4"/>
    <w:rsid w:val="00F86554"/>
    <w:rsid w:val="00F87E09"/>
    <w:rsid w:val="00F94AF1"/>
    <w:rsid w:val="00F95E3B"/>
    <w:rsid w:val="00FB49FD"/>
    <w:rsid w:val="00FB6CA8"/>
    <w:rsid w:val="00FB73D2"/>
    <w:rsid w:val="00FB7F03"/>
    <w:rsid w:val="00FC4B47"/>
    <w:rsid w:val="00FD1F77"/>
    <w:rsid w:val="00FD426D"/>
    <w:rsid w:val="00FD48E5"/>
    <w:rsid w:val="00FD530C"/>
    <w:rsid w:val="00FD6385"/>
    <w:rsid w:val="00FD6643"/>
    <w:rsid w:val="00FE2C1E"/>
    <w:rsid w:val="00FE2C5A"/>
    <w:rsid w:val="00FF102B"/>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8B754"/>
  <w15:docId w15:val="{30ADF085-C2D3-475F-B8C1-3F2A6DC7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859"/>
    <w:rPr>
      <w:smallCaps/>
      <w:sz w:val="20"/>
    </w:rPr>
  </w:style>
  <w:style w:type="paragraph" w:styleId="Heading1">
    <w:name w:val="heading 1"/>
    <w:basedOn w:val="Normal"/>
    <w:next w:val="Normal"/>
    <w:link w:val="Heading1Char"/>
    <w:autoRedefine/>
    <w:qFormat/>
    <w:locked/>
    <w:rsid w:val="00586C58"/>
    <w:pPr>
      <w:keepNext/>
      <w:keepLines/>
      <w:outlineLvl w:val="0"/>
    </w:pPr>
    <w:rPr>
      <w:rFonts w:ascii="Arial" w:eastAsiaTheme="majorEastAsia" w:hAnsi="Arial" w:cs="Arial"/>
      <w:b/>
      <w:bCs/>
      <w:szCs w:val="20"/>
    </w:rPr>
  </w:style>
  <w:style w:type="paragraph" w:styleId="Heading2">
    <w:name w:val="heading 2"/>
    <w:basedOn w:val="Normal"/>
    <w:next w:val="Normal"/>
    <w:link w:val="Heading2Char"/>
    <w:autoRedefine/>
    <w:qFormat/>
    <w:locked/>
    <w:rsid w:val="00B533BB"/>
    <w:pPr>
      <w:keepNext/>
      <w:keepLines/>
      <w:tabs>
        <w:tab w:val="left" w:pos="720"/>
      </w:tabs>
      <w:spacing w:before="200"/>
      <w:outlineLvl w:val="1"/>
    </w:pPr>
    <w:rPr>
      <w:b/>
      <w:bCs/>
      <w:iCs/>
      <w:sz w:val="22"/>
    </w:rPr>
  </w:style>
  <w:style w:type="paragraph" w:styleId="Heading3">
    <w:name w:val="heading 3"/>
    <w:basedOn w:val="Normal"/>
    <w:next w:val="Normal"/>
    <w:link w:val="Heading3Char"/>
    <w:autoRedefine/>
    <w:unhideWhenUsed/>
    <w:qFormat/>
    <w:locked/>
    <w:rsid w:val="00586C58"/>
    <w:pPr>
      <w:keepNext/>
      <w:keepLines/>
      <w:spacing w:before="200"/>
      <w:outlineLvl w:val="2"/>
    </w:pPr>
    <w:rPr>
      <w:rFonts w:ascii="Arial" w:eastAsiaTheme="majorEastAsia" w:hAnsi="Arial" w:cs="Arial"/>
      <w:b/>
      <w:bCs/>
    </w:rPr>
  </w:style>
  <w:style w:type="paragraph" w:styleId="Heading4">
    <w:name w:val="heading 4"/>
    <w:basedOn w:val="Normal"/>
    <w:next w:val="Normal"/>
    <w:link w:val="Heading4Char"/>
    <w:unhideWhenUsed/>
    <w:qFormat/>
    <w:locked/>
    <w:rsid w:val="00205801"/>
    <w:pPr>
      <w:keepNext/>
      <w:keepLines/>
      <w:spacing w:before="200"/>
      <w:outlineLvl w:val="3"/>
    </w:pPr>
    <w:rPr>
      <w:rFonts w:eastAsiaTheme="majorEastAsia" w:cstheme="majorBidi"/>
      <w:bCs/>
      <w:iCs/>
      <w:color w:val="000000" w:themeColor="text1"/>
    </w:rPr>
  </w:style>
  <w:style w:type="paragraph" w:styleId="Heading5">
    <w:name w:val="heading 5"/>
    <w:basedOn w:val="Normal"/>
    <w:next w:val="Normal"/>
    <w:link w:val="Heading5Char"/>
    <w:unhideWhenUsed/>
    <w:qFormat/>
    <w:locked/>
    <w:rsid w:val="00B533B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B533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B533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B533BB"/>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5418"/>
    <w:pPr>
      <w:tabs>
        <w:tab w:val="center" w:pos="4680"/>
        <w:tab w:val="right" w:pos="9360"/>
      </w:tabs>
    </w:pPr>
  </w:style>
  <w:style w:type="character" w:customStyle="1" w:styleId="HeaderChar">
    <w:name w:val="Header Char"/>
    <w:basedOn w:val="DefaultParagraphFont"/>
    <w:link w:val="Header"/>
    <w:uiPriority w:val="99"/>
    <w:locked/>
    <w:rsid w:val="006A5418"/>
    <w:rPr>
      <w:rFonts w:cs="Times New Roman"/>
    </w:rPr>
  </w:style>
  <w:style w:type="paragraph" w:styleId="Footer">
    <w:name w:val="footer"/>
    <w:basedOn w:val="Normal"/>
    <w:link w:val="FooterChar"/>
    <w:uiPriority w:val="99"/>
    <w:rsid w:val="006A5418"/>
    <w:pPr>
      <w:tabs>
        <w:tab w:val="center" w:pos="4680"/>
        <w:tab w:val="right" w:pos="9360"/>
      </w:tabs>
    </w:pPr>
  </w:style>
  <w:style w:type="character" w:customStyle="1" w:styleId="FooterChar">
    <w:name w:val="Footer Char"/>
    <w:basedOn w:val="DefaultParagraphFont"/>
    <w:link w:val="Footer"/>
    <w:uiPriority w:val="99"/>
    <w:locked/>
    <w:rsid w:val="006A5418"/>
    <w:rPr>
      <w:rFonts w:cs="Times New Roman"/>
    </w:rPr>
  </w:style>
  <w:style w:type="paragraph" w:styleId="BalloonText">
    <w:name w:val="Balloon Text"/>
    <w:basedOn w:val="Normal"/>
    <w:link w:val="BalloonTextChar"/>
    <w:uiPriority w:val="99"/>
    <w:semiHidden/>
    <w:rsid w:val="006A54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418"/>
    <w:rPr>
      <w:rFonts w:ascii="Tahoma" w:hAnsi="Tahoma" w:cs="Tahoma"/>
      <w:sz w:val="16"/>
      <w:szCs w:val="16"/>
    </w:rPr>
  </w:style>
  <w:style w:type="paragraph" w:styleId="NoSpacing">
    <w:name w:val="No Spacing"/>
    <w:uiPriority w:val="99"/>
    <w:qFormat/>
    <w:rsid w:val="009D223E"/>
  </w:style>
  <w:style w:type="paragraph" w:styleId="ListParagraph">
    <w:name w:val="List Paragraph"/>
    <w:basedOn w:val="Normal"/>
    <w:uiPriority w:val="34"/>
    <w:qFormat/>
    <w:rsid w:val="009D223E"/>
    <w:pPr>
      <w:ind w:left="720" w:right="180"/>
      <w:contextualSpacing/>
    </w:pPr>
    <w:rPr>
      <w:rFonts w:ascii="Times New Roman" w:eastAsia="Times New Roman" w:hAnsi="Times New Roman"/>
      <w:szCs w:val="20"/>
    </w:rPr>
  </w:style>
  <w:style w:type="paragraph" w:styleId="BodyText">
    <w:name w:val="Body Text"/>
    <w:basedOn w:val="Normal"/>
    <w:link w:val="BodyTextChar"/>
    <w:rsid w:val="004C04EB"/>
    <w:rPr>
      <w:rFonts w:ascii="Times New Roman" w:eastAsia="Times New Roman" w:hAnsi="Times New Roman"/>
      <w:szCs w:val="24"/>
    </w:rPr>
  </w:style>
  <w:style w:type="character" w:customStyle="1" w:styleId="BodyTextChar">
    <w:name w:val="Body Text Char"/>
    <w:basedOn w:val="DefaultParagraphFont"/>
    <w:link w:val="BodyText"/>
    <w:rsid w:val="004C04EB"/>
    <w:rPr>
      <w:rFonts w:ascii="Times New Roman" w:eastAsia="Times New Roman" w:hAnsi="Times New Roman"/>
      <w:sz w:val="20"/>
      <w:szCs w:val="24"/>
    </w:rPr>
  </w:style>
  <w:style w:type="character" w:customStyle="1" w:styleId="Heading2Char">
    <w:name w:val="Heading 2 Char"/>
    <w:basedOn w:val="DefaultParagraphFont"/>
    <w:link w:val="Heading2"/>
    <w:rsid w:val="00B533BB"/>
    <w:rPr>
      <w:b/>
      <w:bCs/>
      <w:iCs/>
      <w:smallCaps/>
    </w:rPr>
  </w:style>
  <w:style w:type="paragraph" w:styleId="PlainText">
    <w:name w:val="Plain Text"/>
    <w:basedOn w:val="Normal"/>
    <w:link w:val="PlainTextChar"/>
    <w:semiHidden/>
    <w:rsid w:val="00737409"/>
    <w:rPr>
      <w:rFonts w:ascii="Arial" w:eastAsia="Times New Roman" w:hAnsi="Arial" w:cs="Courier New"/>
      <w:szCs w:val="24"/>
    </w:rPr>
  </w:style>
  <w:style w:type="character" w:customStyle="1" w:styleId="PlainTextChar">
    <w:name w:val="Plain Text Char"/>
    <w:basedOn w:val="DefaultParagraphFont"/>
    <w:link w:val="PlainText"/>
    <w:semiHidden/>
    <w:rsid w:val="00737409"/>
    <w:rPr>
      <w:rFonts w:ascii="Arial" w:eastAsia="Times New Roman" w:hAnsi="Arial" w:cs="Courier New"/>
      <w:sz w:val="20"/>
      <w:szCs w:val="24"/>
    </w:rPr>
  </w:style>
  <w:style w:type="paragraph" w:styleId="Title">
    <w:name w:val="Title"/>
    <w:basedOn w:val="Normal"/>
    <w:link w:val="TitleChar"/>
    <w:qFormat/>
    <w:locked/>
    <w:rsid w:val="00737409"/>
    <w:pPr>
      <w:spacing w:before="240" w:after="60"/>
      <w:jc w:val="center"/>
    </w:pPr>
    <w:rPr>
      <w:rFonts w:ascii="Futura Bk" w:eastAsia="Times New Roman" w:hAnsi="Futura Bk" w:cs="Arial"/>
      <w:bCs/>
      <w:kern w:val="28"/>
      <w:sz w:val="56"/>
      <w:szCs w:val="32"/>
    </w:rPr>
  </w:style>
  <w:style w:type="character" w:customStyle="1" w:styleId="TitleChar">
    <w:name w:val="Title Char"/>
    <w:basedOn w:val="DefaultParagraphFont"/>
    <w:link w:val="Title"/>
    <w:rsid w:val="00737409"/>
    <w:rPr>
      <w:rFonts w:ascii="Futura Bk" w:eastAsia="Times New Roman" w:hAnsi="Futura Bk" w:cs="Arial"/>
      <w:bCs/>
      <w:kern w:val="28"/>
      <w:sz w:val="56"/>
      <w:szCs w:val="32"/>
    </w:rPr>
  </w:style>
  <w:style w:type="table" w:styleId="TableGrid">
    <w:name w:val="Table Grid"/>
    <w:basedOn w:val="TableNormal"/>
    <w:locked/>
    <w:rsid w:val="00737409"/>
    <w:rPr>
      <w:rFonts w:eastAsia="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86C58"/>
    <w:rPr>
      <w:rFonts w:ascii="Arial" w:eastAsiaTheme="majorEastAsia" w:hAnsi="Arial" w:cs="Arial"/>
      <w:b/>
      <w:bCs/>
      <w:smallCaps/>
      <w:sz w:val="20"/>
      <w:szCs w:val="20"/>
    </w:rPr>
  </w:style>
  <w:style w:type="character" w:customStyle="1" w:styleId="Heading3Char">
    <w:name w:val="Heading 3 Char"/>
    <w:basedOn w:val="DefaultParagraphFont"/>
    <w:link w:val="Heading3"/>
    <w:rsid w:val="00586C58"/>
    <w:rPr>
      <w:rFonts w:ascii="Arial" w:eastAsiaTheme="majorEastAsia" w:hAnsi="Arial" w:cs="Arial"/>
      <w:b/>
      <w:bCs/>
      <w:smallCaps/>
      <w:sz w:val="20"/>
    </w:rPr>
  </w:style>
  <w:style w:type="character" w:customStyle="1" w:styleId="Heading4Char">
    <w:name w:val="Heading 4 Char"/>
    <w:basedOn w:val="DefaultParagraphFont"/>
    <w:link w:val="Heading4"/>
    <w:rsid w:val="00205801"/>
    <w:rPr>
      <w:rFonts w:eastAsiaTheme="majorEastAsia" w:cstheme="majorBidi"/>
      <w:bCs/>
      <w:iCs/>
      <w:smallCaps/>
      <w:color w:val="000000" w:themeColor="text1"/>
      <w:sz w:val="20"/>
    </w:rPr>
  </w:style>
  <w:style w:type="paragraph" w:styleId="TOC1">
    <w:name w:val="toc 1"/>
    <w:basedOn w:val="Normal"/>
    <w:next w:val="Normal"/>
    <w:autoRedefine/>
    <w:locked/>
    <w:rsid w:val="00CA48A8"/>
    <w:pPr>
      <w:spacing w:after="100"/>
    </w:pPr>
  </w:style>
  <w:style w:type="paragraph" w:customStyle="1" w:styleId="Text">
    <w:name w:val="Text"/>
    <w:basedOn w:val="Normal"/>
    <w:rsid w:val="007C3E9F"/>
    <w:pPr>
      <w:numPr>
        <w:numId w:val="11"/>
      </w:numPr>
    </w:pPr>
    <w:rPr>
      <w:rFonts w:ascii="Times New Roman" w:eastAsia="Times New Roman" w:hAnsi="Times New Roman"/>
      <w:smallCaps w:val="0"/>
      <w:sz w:val="24"/>
      <w:szCs w:val="24"/>
    </w:rPr>
  </w:style>
  <w:style w:type="character" w:styleId="CommentReference">
    <w:name w:val="annotation reference"/>
    <w:basedOn w:val="DefaultParagraphFont"/>
    <w:uiPriority w:val="99"/>
    <w:semiHidden/>
    <w:unhideWhenUsed/>
    <w:rsid w:val="006939FA"/>
    <w:rPr>
      <w:sz w:val="16"/>
      <w:szCs w:val="16"/>
    </w:rPr>
  </w:style>
  <w:style w:type="paragraph" w:styleId="CommentText">
    <w:name w:val="annotation text"/>
    <w:basedOn w:val="Normal"/>
    <w:link w:val="CommentTextChar"/>
    <w:uiPriority w:val="99"/>
    <w:semiHidden/>
    <w:unhideWhenUsed/>
    <w:rsid w:val="006939FA"/>
    <w:rPr>
      <w:szCs w:val="20"/>
    </w:rPr>
  </w:style>
  <w:style w:type="character" w:customStyle="1" w:styleId="CommentTextChar">
    <w:name w:val="Comment Text Char"/>
    <w:basedOn w:val="DefaultParagraphFont"/>
    <w:link w:val="CommentText"/>
    <w:uiPriority w:val="99"/>
    <w:semiHidden/>
    <w:rsid w:val="006939FA"/>
    <w:rPr>
      <w:smallCaps/>
      <w:sz w:val="20"/>
      <w:szCs w:val="20"/>
    </w:rPr>
  </w:style>
  <w:style w:type="paragraph" w:styleId="CommentSubject">
    <w:name w:val="annotation subject"/>
    <w:basedOn w:val="CommentText"/>
    <w:next w:val="CommentText"/>
    <w:link w:val="CommentSubjectChar"/>
    <w:uiPriority w:val="99"/>
    <w:semiHidden/>
    <w:unhideWhenUsed/>
    <w:rsid w:val="006939FA"/>
    <w:rPr>
      <w:b/>
      <w:bCs/>
    </w:rPr>
  </w:style>
  <w:style w:type="character" w:customStyle="1" w:styleId="CommentSubjectChar">
    <w:name w:val="Comment Subject Char"/>
    <w:basedOn w:val="CommentTextChar"/>
    <w:link w:val="CommentSubject"/>
    <w:uiPriority w:val="99"/>
    <w:semiHidden/>
    <w:rsid w:val="006939FA"/>
    <w:rPr>
      <w:b/>
      <w:bCs/>
      <w:smallCaps/>
      <w:sz w:val="20"/>
      <w:szCs w:val="20"/>
    </w:rPr>
  </w:style>
  <w:style w:type="character" w:styleId="Emphasis">
    <w:name w:val="Emphasis"/>
    <w:basedOn w:val="DefaultParagraphFont"/>
    <w:uiPriority w:val="20"/>
    <w:qFormat/>
    <w:locked/>
    <w:rsid w:val="00B533BB"/>
    <w:rPr>
      <w:i/>
      <w:iCs/>
    </w:rPr>
  </w:style>
  <w:style w:type="character" w:customStyle="1" w:styleId="Heading5Char">
    <w:name w:val="Heading 5 Char"/>
    <w:basedOn w:val="DefaultParagraphFont"/>
    <w:link w:val="Heading5"/>
    <w:rsid w:val="00B533BB"/>
    <w:rPr>
      <w:rFonts w:asciiTheme="majorHAnsi" w:eastAsiaTheme="majorEastAsia" w:hAnsiTheme="majorHAnsi" w:cstheme="majorBidi"/>
      <w:smallCaps/>
      <w:color w:val="243F60" w:themeColor="accent1" w:themeShade="7F"/>
      <w:sz w:val="20"/>
    </w:rPr>
  </w:style>
  <w:style w:type="character" w:customStyle="1" w:styleId="Heading6Char">
    <w:name w:val="Heading 6 Char"/>
    <w:basedOn w:val="DefaultParagraphFont"/>
    <w:link w:val="Heading6"/>
    <w:rsid w:val="00B533BB"/>
    <w:rPr>
      <w:rFonts w:asciiTheme="majorHAnsi" w:eastAsiaTheme="majorEastAsia" w:hAnsiTheme="majorHAnsi" w:cstheme="majorBidi"/>
      <w:i/>
      <w:iCs/>
      <w:smallCaps/>
      <w:color w:val="243F60" w:themeColor="accent1" w:themeShade="7F"/>
      <w:sz w:val="20"/>
    </w:rPr>
  </w:style>
  <w:style w:type="character" w:customStyle="1" w:styleId="Heading7Char">
    <w:name w:val="Heading 7 Char"/>
    <w:basedOn w:val="DefaultParagraphFont"/>
    <w:link w:val="Heading7"/>
    <w:rsid w:val="00B533BB"/>
    <w:rPr>
      <w:rFonts w:asciiTheme="majorHAnsi" w:eastAsiaTheme="majorEastAsia" w:hAnsiTheme="majorHAnsi" w:cstheme="majorBidi"/>
      <w:i/>
      <w:iCs/>
      <w:smallCaps/>
      <w:color w:val="404040" w:themeColor="text1" w:themeTint="BF"/>
      <w:sz w:val="20"/>
    </w:rPr>
  </w:style>
  <w:style w:type="character" w:customStyle="1" w:styleId="Heading8Char">
    <w:name w:val="Heading 8 Char"/>
    <w:basedOn w:val="DefaultParagraphFont"/>
    <w:link w:val="Heading8"/>
    <w:rsid w:val="00B533BB"/>
    <w:rPr>
      <w:rFonts w:asciiTheme="majorHAnsi" w:eastAsiaTheme="majorEastAsia" w:hAnsiTheme="majorHAnsi" w:cstheme="majorBidi"/>
      <w:smallCaps/>
      <w:color w:val="404040" w:themeColor="text1" w:themeTint="BF"/>
      <w:sz w:val="20"/>
      <w:szCs w:val="20"/>
    </w:rPr>
  </w:style>
  <w:style w:type="character" w:styleId="PageNumber">
    <w:name w:val="page number"/>
    <w:basedOn w:val="DefaultParagraphFont"/>
    <w:rsid w:val="0027139A"/>
  </w:style>
  <w:style w:type="paragraph" w:customStyle="1" w:styleId="instruction">
    <w:name w:val="instruction"/>
    <w:basedOn w:val="Normal"/>
    <w:rsid w:val="0027139A"/>
    <w:pPr>
      <w:spacing w:before="100" w:beforeAutospacing="1" w:after="100" w:afterAutospacing="1"/>
    </w:pPr>
    <w:rPr>
      <w:rFonts w:ascii="Times New Roman" w:eastAsia="Times New Roman" w:hAnsi="Times New Roman"/>
      <w:smallCaps w:val="0"/>
      <w:color w:val="0088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495049">
      <w:bodyDiv w:val="1"/>
      <w:marLeft w:val="0"/>
      <w:marRight w:val="0"/>
      <w:marTop w:val="0"/>
      <w:marBottom w:val="0"/>
      <w:divBdr>
        <w:top w:val="none" w:sz="0" w:space="0" w:color="auto"/>
        <w:left w:val="none" w:sz="0" w:space="0" w:color="auto"/>
        <w:bottom w:val="none" w:sz="0" w:space="0" w:color="auto"/>
        <w:right w:val="none" w:sz="0" w:space="0" w:color="auto"/>
      </w:divBdr>
    </w:div>
    <w:div w:id="21446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0A584F84C43418DE8F7256DB1EAFE" ma:contentTypeVersion="2" ma:contentTypeDescription="Create a new document." ma:contentTypeScope="" ma:versionID="e2fad95c07c4fcf5227702aa37461c0c">
  <xsd:schema xmlns:xsd="http://www.w3.org/2001/XMLSchema" xmlns:xs="http://www.w3.org/2001/XMLSchema" xmlns:p="http://schemas.microsoft.com/office/2006/metadata/properties" targetNamespace="http://schemas.microsoft.com/office/2006/metadata/properties" ma:root="true" ma:fieldsID="d196f01341b22f5016ecd9d4cc9031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5C8F3-3CC3-413D-AB45-2AE5D27353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CD32A9-547E-4A19-BFE6-39A6539E9685}">
  <ds:schemaRefs>
    <ds:schemaRef ds:uri="http://schemas.microsoft.com/sharepoint/v3/contenttype/forms"/>
  </ds:schemaRefs>
</ds:datastoreItem>
</file>

<file path=customXml/itemProps3.xml><?xml version="1.0" encoding="utf-8"?>
<ds:datastoreItem xmlns:ds="http://schemas.openxmlformats.org/officeDocument/2006/customXml" ds:itemID="{9727C0C2-C21A-4AE6-8B15-A623B6A41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46AA78-0AE1-4E27-950C-7E9CBEA4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ADWILKJ</dc:creator>
  <cp:lastModifiedBy>Pam J Dreyer</cp:lastModifiedBy>
  <cp:revision>2</cp:revision>
  <cp:lastPrinted>2014-09-09T20:45:00Z</cp:lastPrinted>
  <dcterms:created xsi:type="dcterms:W3CDTF">2014-09-23T15:30:00Z</dcterms:created>
  <dcterms:modified xsi:type="dcterms:W3CDTF">2014-09-23T15:30:00Z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0x010100D230A584F84C43418DE8F7256DB1EAFE</vt:lpwstr>
  </property>
</Properties>
</file>