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4A8" w:rsidRDefault="007224A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6750"/>
      </w:tblGrid>
      <w:tr w:rsidR="007224A8">
        <w:tc>
          <w:tcPr>
            <w:tcW w:w="9288" w:type="dxa"/>
            <w:gridSpan w:val="2"/>
            <w:tcBorders>
              <w:top w:val="nil"/>
              <w:left w:val="nil"/>
              <w:right w:val="nil"/>
            </w:tcBorders>
          </w:tcPr>
          <w:p w:rsidR="007224A8" w:rsidRDefault="00B71519">
            <w:pPr>
              <w:pStyle w:val="Title"/>
              <w:ind w:left="0" w:firstLine="0"/>
            </w:pPr>
            <w:bookmarkStart w:id="0" w:name="_gjdgxs" w:colFirst="0" w:colLast="0"/>
            <w:bookmarkEnd w:id="0"/>
            <w:r>
              <w:t>(Agency)</w:t>
            </w:r>
            <w:r w:rsidR="00F340C0">
              <w:t xml:space="preserve"> POLICY (8250):  MEDIA PROTECTION</w:t>
            </w:r>
          </w:p>
        </w:tc>
      </w:tr>
      <w:tr w:rsidR="007224A8">
        <w:tc>
          <w:tcPr>
            <w:tcW w:w="2538" w:type="dxa"/>
          </w:tcPr>
          <w:p w:rsidR="007224A8" w:rsidRDefault="00F340C0">
            <w:pPr>
              <w:pBdr>
                <w:top w:val="nil"/>
                <w:left w:val="nil"/>
                <w:bottom w:val="nil"/>
                <w:right w:val="nil"/>
                <w:between w:val="nil"/>
              </w:pBdr>
              <w:spacing w:after="100"/>
              <w:rPr>
                <w:b/>
                <w:smallCaps/>
                <w:color w:val="000000"/>
                <w:sz w:val="16"/>
                <w:szCs w:val="16"/>
              </w:rPr>
            </w:pPr>
            <w:r>
              <w:rPr>
                <w:b/>
                <w:smallCaps/>
                <w:color w:val="000000"/>
                <w:sz w:val="16"/>
                <w:szCs w:val="16"/>
              </w:rPr>
              <w:t xml:space="preserve">DOCUMENT NUMBER: </w:t>
            </w:r>
          </w:p>
        </w:tc>
        <w:tc>
          <w:tcPr>
            <w:tcW w:w="6750" w:type="dxa"/>
          </w:tcPr>
          <w:p w:rsidR="007224A8" w:rsidRDefault="00F340C0">
            <w:pPr>
              <w:pBdr>
                <w:top w:val="nil"/>
                <w:left w:val="nil"/>
                <w:bottom w:val="nil"/>
                <w:right w:val="nil"/>
                <w:between w:val="nil"/>
              </w:pBdr>
              <w:spacing w:after="100"/>
              <w:rPr>
                <w:b/>
                <w:smallCaps/>
                <w:color w:val="000000"/>
                <w:sz w:val="16"/>
                <w:szCs w:val="16"/>
              </w:rPr>
            </w:pPr>
            <w:r>
              <w:rPr>
                <w:b/>
                <w:smallCaps/>
                <w:color w:val="000000"/>
                <w:sz w:val="16"/>
                <w:szCs w:val="16"/>
              </w:rPr>
              <w:t>(P8250)</w:t>
            </w:r>
          </w:p>
        </w:tc>
      </w:tr>
      <w:tr w:rsidR="007224A8">
        <w:trPr>
          <w:trHeight w:val="260"/>
        </w:trPr>
        <w:tc>
          <w:tcPr>
            <w:tcW w:w="2538" w:type="dxa"/>
          </w:tcPr>
          <w:p w:rsidR="007224A8" w:rsidRDefault="00F340C0">
            <w:pPr>
              <w:pBdr>
                <w:top w:val="nil"/>
                <w:left w:val="nil"/>
                <w:bottom w:val="nil"/>
                <w:right w:val="nil"/>
                <w:between w:val="nil"/>
              </w:pBdr>
              <w:spacing w:after="100"/>
              <w:rPr>
                <w:b/>
                <w:smallCaps/>
                <w:color w:val="000000"/>
                <w:sz w:val="16"/>
                <w:szCs w:val="16"/>
              </w:rPr>
            </w:pPr>
            <w:r>
              <w:rPr>
                <w:b/>
                <w:smallCaps/>
                <w:color w:val="000000"/>
                <w:sz w:val="16"/>
                <w:szCs w:val="16"/>
              </w:rPr>
              <w:t>EFFECTIVE DATE:</w:t>
            </w:r>
          </w:p>
        </w:tc>
        <w:tc>
          <w:tcPr>
            <w:tcW w:w="6750" w:type="dxa"/>
          </w:tcPr>
          <w:p w:rsidR="007224A8" w:rsidRDefault="00F340C0">
            <w:pPr>
              <w:spacing w:after="100"/>
              <w:rPr>
                <w:b/>
                <w:smallCaps/>
                <w:color w:val="000000"/>
                <w:sz w:val="16"/>
                <w:szCs w:val="16"/>
              </w:rPr>
            </w:pPr>
            <w:r>
              <w:rPr>
                <w:b/>
                <w:smallCaps/>
                <w:sz w:val="16"/>
                <w:szCs w:val="16"/>
              </w:rPr>
              <w:t>SEPTEMBER 17, 2018</w:t>
            </w:r>
          </w:p>
        </w:tc>
      </w:tr>
      <w:tr w:rsidR="007224A8">
        <w:tc>
          <w:tcPr>
            <w:tcW w:w="2538" w:type="dxa"/>
          </w:tcPr>
          <w:p w:rsidR="007224A8" w:rsidRDefault="00F340C0">
            <w:pPr>
              <w:pBdr>
                <w:top w:val="nil"/>
                <w:left w:val="nil"/>
                <w:bottom w:val="nil"/>
                <w:right w:val="nil"/>
                <w:between w:val="nil"/>
              </w:pBdr>
              <w:spacing w:after="100"/>
              <w:rPr>
                <w:b/>
                <w:smallCaps/>
                <w:color w:val="000000"/>
                <w:sz w:val="16"/>
                <w:szCs w:val="16"/>
              </w:rPr>
            </w:pPr>
            <w:r>
              <w:rPr>
                <w:b/>
                <w:smallCaps/>
                <w:color w:val="000000"/>
                <w:sz w:val="16"/>
                <w:szCs w:val="16"/>
              </w:rPr>
              <w:t>REVISION:</w:t>
            </w:r>
          </w:p>
        </w:tc>
        <w:tc>
          <w:tcPr>
            <w:tcW w:w="6750" w:type="dxa"/>
          </w:tcPr>
          <w:p w:rsidR="007224A8" w:rsidRDefault="00F340C0">
            <w:pPr>
              <w:pBdr>
                <w:top w:val="nil"/>
                <w:left w:val="nil"/>
                <w:bottom w:val="nil"/>
                <w:right w:val="nil"/>
                <w:between w:val="nil"/>
              </w:pBdr>
              <w:spacing w:after="100"/>
              <w:rPr>
                <w:b/>
                <w:smallCaps/>
                <w:color w:val="000000"/>
                <w:sz w:val="16"/>
                <w:szCs w:val="16"/>
              </w:rPr>
            </w:pPr>
            <w:r>
              <w:rPr>
                <w:b/>
                <w:smallCaps/>
                <w:sz w:val="16"/>
                <w:szCs w:val="16"/>
              </w:rPr>
              <w:t>2.0</w:t>
            </w:r>
          </w:p>
        </w:tc>
      </w:tr>
    </w:tbl>
    <w:p w:rsidR="007224A8" w:rsidRDefault="00F340C0">
      <w:pPr>
        <w:pStyle w:val="Heading1"/>
        <w:numPr>
          <w:ilvl w:val="0"/>
          <w:numId w:val="1"/>
        </w:numPr>
        <w:spacing w:before="400" w:line="273" w:lineRule="auto"/>
      </w:pPr>
      <w:bookmarkStart w:id="1" w:name="_30j0zll" w:colFirst="0" w:colLast="0"/>
      <w:bookmarkEnd w:id="1"/>
      <w:r>
        <w:t>AUTHORITY</w:t>
      </w:r>
    </w:p>
    <w:p w:rsidR="007224A8" w:rsidRDefault="00F340C0">
      <w:r>
        <w:t xml:space="preserve">To effectuate the mission and purposes of the Arizona Department of Administration (ADOA), the BU shall establish a coordinated plan and program for information technology (IT) implemented and maintained through policies, standards and procedures (PSPs) as authorized by Arizona Revised Statutes (A.R.S.)§ 18-104 and § 18-105.  </w:t>
      </w:r>
      <w:proofErr w:type="gramStart"/>
      <w:r>
        <w:t>REFERENCE STATEWIDE POLICY FRAMEWORK P8250 MEDIA PROTECTION.</w:t>
      </w:r>
      <w:proofErr w:type="gramEnd"/>
    </w:p>
    <w:p w:rsidR="007224A8" w:rsidRDefault="00F340C0">
      <w:pPr>
        <w:pStyle w:val="Heading1"/>
        <w:numPr>
          <w:ilvl w:val="0"/>
          <w:numId w:val="1"/>
        </w:numPr>
        <w:spacing w:before="400" w:line="273" w:lineRule="auto"/>
      </w:pPr>
      <w:r>
        <w:t>PURPOSE</w:t>
      </w:r>
    </w:p>
    <w:p w:rsidR="007224A8" w:rsidRDefault="00F340C0">
      <w:r>
        <w:t>The purpose of this policy is to increase the ability of the Budget Unit (BU) to ensure the secure storage, transport, and destruction of sensitive information.</w:t>
      </w:r>
    </w:p>
    <w:p w:rsidR="007224A8" w:rsidRDefault="00F340C0">
      <w:pPr>
        <w:pStyle w:val="Heading1"/>
        <w:numPr>
          <w:ilvl w:val="0"/>
          <w:numId w:val="1"/>
        </w:numPr>
        <w:spacing w:before="400" w:line="273" w:lineRule="auto"/>
      </w:pPr>
      <w:r>
        <w:t>SCOPE</w:t>
      </w:r>
    </w:p>
    <w:p w:rsidR="007224A8" w:rsidRDefault="00F340C0">
      <w:pPr>
        <w:pStyle w:val="Heading2"/>
        <w:numPr>
          <w:ilvl w:val="1"/>
          <w:numId w:val="1"/>
        </w:numPr>
      </w:pPr>
      <w:r>
        <w:rPr>
          <w:b/>
        </w:rPr>
        <w:t>Application to Budget Units (BUs)</w:t>
      </w:r>
      <w:r>
        <w:t xml:space="preserve"> - This policy shall apply to all BUs as defined in A.R.S. § 18-101(1). </w:t>
      </w:r>
    </w:p>
    <w:p w:rsidR="007224A8" w:rsidRDefault="00F340C0">
      <w:pPr>
        <w:pStyle w:val="Heading2"/>
        <w:numPr>
          <w:ilvl w:val="1"/>
          <w:numId w:val="1"/>
        </w:numPr>
      </w:pPr>
      <w:r>
        <w:rPr>
          <w:b/>
        </w:rPr>
        <w:t xml:space="preserve">Application to Systems </w:t>
      </w:r>
      <w:r>
        <w:t>- This policy shall apply to all agency information systems:</w:t>
      </w:r>
    </w:p>
    <w:p w:rsidR="007224A8" w:rsidRDefault="00F340C0">
      <w:pPr>
        <w:numPr>
          <w:ilvl w:val="0"/>
          <w:numId w:val="3"/>
        </w:numPr>
        <w:pBdr>
          <w:top w:val="nil"/>
          <w:left w:val="nil"/>
          <w:bottom w:val="nil"/>
          <w:right w:val="nil"/>
          <w:between w:val="nil"/>
        </w:pBdr>
        <w:spacing w:before="120"/>
        <w:rPr>
          <w:color w:val="002060"/>
        </w:rPr>
      </w:pPr>
      <w:r>
        <w:rPr>
          <w:b/>
          <w:color w:val="000000"/>
        </w:rPr>
        <w:t xml:space="preserve">(P) </w:t>
      </w:r>
      <w:r>
        <w:rPr>
          <w:color w:val="000000"/>
        </w:rPr>
        <w:t xml:space="preserve">Policy statements preceded by “(P)” are required for agency information systems categorized as Protected. </w:t>
      </w:r>
    </w:p>
    <w:p w:rsidR="007224A8" w:rsidRDefault="00F340C0">
      <w:pPr>
        <w:numPr>
          <w:ilvl w:val="0"/>
          <w:numId w:val="3"/>
        </w:numPr>
        <w:pBdr>
          <w:top w:val="nil"/>
          <w:left w:val="nil"/>
          <w:bottom w:val="nil"/>
          <w:right w:val="nil"/>
          <w:between w:val="nil"/>
        </w:pBdr>
        <w:spacing w:before="120"/>
        <w:rPr>
          <w:color w:val="000000"/>
        </w:rPr>
      </w:pPr>
      <w:r>
        <w:rPr>
          <w:b/>
          <w:color w:val="000000"/>
        </w:rPr>
        <w:t>(P-PCI)</w:t>
      </w:r>
      <w:r>
        <w:rPr>
          <w:color w:val="000000"/>
        </w:rPr>
        <w:t>Policy statements preceded by “(P-PCI)” are required for agency information systems with payment card industry data (e.g., cardholder data).</w:t>
      </w:r>
    </w:p>
    <w:p w:rsidR="007224A8" w:rsidRDefault="00F340C0">
      <w:pPr>
        <w:numPr>
          <w:ilvl w:val="0"/>
          <w:numId w:val="3"/>
        </w:numPr>
        <w:pBdr>
          <w:top w:val="nil"/>
          <w:left w:val="nil"/>
          <w:bottom w:val="nil"/>
          <w:right w:val="nil"/>
          <w:between w:val="nil"/>
        </w:pBdr>
        <w:spacing w:before="120"/>
        <w:rPr>
          <w:color w:val="000000"/>
        </w:rPr>
      </w:pPr>
      <w:r>
        <w:rPr>
          <w:b/>
          <w:color w:val="000000"/>
        </w:rPr>
        <w:t xml:space="preserve">(P-PHI) </w:t>
      </w:r>
      <w:r>
        <w:rPr>
          <w:color w:val="000000"/>
        </w:rPr>
        <w:t>Policy statements preceded by “(P-PHI)” are required for agency information systems with protected healthcare information.</w:t>
      </w:r>
    </w:p>
    <w:p w:rsidR="007224A8" w:rsidRDefault="00F340C0">
      <w:pPr>
        <w:numPr>
          <w:ilvl w:val="0"/>
          <w:numId w:val="3"/>
        </w:numPr>
        <w:pBdr>
          <w:top w:val="nil"/>
          <w:left w:val="nil"/>
          <w:bottom w:val="nil"/>
          <w:right w:val="nil"/>
          <w:between w:val="nil"/>
        </w:pBdr>
        <w:spacing w:before="120"/>
        <w:rPr>
          <w:color w:val="000000"/>
        </w:rPr>
      </w:pPr>
      <w:r>
        <w:rPr>
          <w:b/>
          <w:color w:val="000000"/>
        </w:rPr>
        <w:t>(P-FTI)</w:t>
      </w:r>
      <w:r>
        <w:rPr>
          <w:color w:val="000000"/>
        </w:rPr>
        <w:t xml:space="preserve"> Policy statements preceded by “(P-FTI)” are required for agency information systems with federal taxpayer information.</w:t>
      </w:r>
    </w:p>
    <w:p w:rsidR="007224A8" w:rsidRDefault="00F340C0">
      <w:pPr>
        <w:pStyle w:val="Heading2"/>
        <w:numPr>
          <w:ilvl w:val="1"/>
          <w:numId w:val="1"/>
        </w:numPr>
      </w:pPr>
      <w:r>
        <w:t>Information owned or under the control of the United States Government shall comply with the Federal classification authority and Federal protection requirements.</w:t>
      </w:r>
    </w:p>
    <w:p w:rsidR="007224A8" w:rsidRDefault="00F340C0">
      <w:pPr>
        <w:pStyle w:val="Heading1"/>
        <w:numPr>
          <w:ilvl w:val="0"/>
          <w:numId w:val="1"/>
        </w:numPr>
        <w:spacing w:before="400" w:line="273" w:lineRule="auto"/>
      </w:pPr>
      <w:r>
        <w:lastRenderedPageBreak/>
        <w:t>EXCEPTIONS</w:t>
      </w:r>
    </w:p>
    <w:p w:rsidR="007224A8" w:rsidRDefault="00F340C0">
      <w:pPr>
        <w:pStyle w:val="Heading2"/>
        <w:numPr>
          <w:ilvl w:val="1"/>
          <w:numId w:val="1"/>
        </w:numPr>
      </w:pPr>
      <w:r>
        <w:t xml:space="preserve">PSPs may be expanded or exceptions may be taken by following the Statewide Policy Exception Procedure. </w:t>
      </w:r>
    </w:p>
    <w:p w:rsidR="007224A8" w:rsidRDefault="00F340C0">
      <w:pPr>
        <w:numPr>
          <w:ilvl w:val="2"/>
          <w:numId w:val="1"/>
        </w:numPr>
        <w:spacing w:before="200"/>
        <w:ind w:left="1440"/>
      </w:pPr>
      <w:bookmarkStart w:id="2" w:name="_GoBack"/>
      <w:bookmarkEnd w:id="2"/>
      <w:r>
        <w:t>Existing IT Products and Services</w:t>
      </w:r>
    </w:p>
    <w:p w:rsidR="007224A8" w:rsidRDefault="00F340C0">
      <w:pPr>
        <w:numPr>
          <w:ilvl w:val="0"/>
          <w:numId w:val="4"/>
        </w:numPr>
        <w:pBdr>
          <w:top w:val="nil"/>
          <w:left w:val="nil"/>
          <w:bottom w:val="nil"/>
          <w:right w:val="nil"/>
          <w:between w:val="nil"/>
        </w:pBdr>
        <w:spacing w:before="120"/>
        <w:rPr>
          <w:color w:val="000000"/>
        </w:rPr>
      </w:pPr>
      <w:r>
        <w:rPr>
          <w:color w:val="000000"/>
        </w:rPr>
        <w:t>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Statewide Policy Exception Procedure.</w:t>
      </w:r>
    </w:p>
    <w:p w:rsidR="007224A8" w:rsidRDefault="00F340C0">
      <w:pPr>
        <w:numPr>
          <w:ilvl w:val="2"/>
          <w:numId w:val="1"/>
        </w:numPr>
        <w:spacing w:before="200"/>
        <w:ind w:left="1440"/>
      </w:pPr>
      <w:r>
        <w:t>IT Products and Services Procurement</w:t>
      </w:r>
    </w:p>
    <w:p w:rsidR="007224A8" w:rsidRDefault="00F340C0">
      <w:pPr>
        <w:numPr>
          <w:ilvl w:val="0"/>
          <w:numId w:val="6"/>
        </w:numPr>
        <w:pBdr>
          <w:top w:val="nil"/>
          <w:left w:val="nil"/>
          <w:bottom w:val="nil"/>
          <w:right w:val="nil"/>
          <w:between w:val="nil"/>
        </w:pBdr>
        <w:spacing w:before="120"/>
        <w:rPr>
          <w:color w:val="000000"/>
        </w:rPr>
      </w:pPr>
      <w:r>
        <w:rPr>
          <w:color w:val="000000"/>
        </w:rPr>
        <w:t xml:space="preserve">Prior to selecting and procuring information technology products and services, (Agency) BU SMEs shall consider </w:t>
      </w:r>
      <w:r>
        <w:t>S</w:t>
      </w:r>
      <w:r>
        <w:rPr>
          <w:color w:val="000000"/>
        </w:rPr>
        <w:t>tatewide IT PSPs when specifying, scoping, and evaluating solutions to meet current and planned requirements.</w:t>
      </w:r>
    </w:p>
    <w:p w:rsidR="007224A8" w:rsidRDefault="00F340C0">
      <w:pPr>
        <w:pStyle w:val="Heading2"/>
        <w:numPr>
          <w:ilvl w:val="1"/>
          <w:numId w:val="1"/>
        </w:numPr>
      </w:pPr>
      <w:r>
        <w:t>BU has taken the following exceptions to the Statewide Policy Framework:</w:t>
      </w:r>
    </w:p>
    <w:tbl>
      <w:tblPr>
        <w:tblStyle w:val="a0"/>
        <w:tblW w:w="8694" w:type="dxa"/>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689"/>
        <w:gridCol w:w="3315"/>
        <w:gridCol w:w="2690"/>
      </w:tblGrid>
      <w:tr w:rsidR="007224A8">
        <w:tc>
          <w:tcPr>
            <w:tcW w:w="2689" w:type="dxa"/>
            <w:shd w:val="clear" w:color="auto" w:fill="auto"/>
            <w:tcMar>
              <w:top w:w="100" w:type="dxa"/>
              <w:left w:w="100" w:type="dxa"/>
              <w:bottom w:w="100" w:type="dxa"/>
              <w:right w:w="100" w:type="dxa"/>
            </w:tcMar>
          </w:tcPr>
          <w:p w:rsidR="007224A8" w:rsidRDefault="00F340C0">
            <w:pPr>
              <w:widowControl w:val="0"/>
              <w:pBdr>
                <w:top w:val="nil"/>
                <w:left w:val="nil"/>
                <w:bottom w:val="nil"/>
                <w:right w:val="nil"/>
                <w:between w:val="nil"/>
              </w:pBdr>
            </w:pPr>
            <w:r>
              <w:t>Section Number</w:t>
            </w:r>
          </w:p>
        </w:tc>
        <w:tc>
          <w:tcPr>
            <w:tcW w:w="3314" w:type="dxa"/>
            <w:shd w:val="clear" w:color="auto" w:fill="auto"/>
            <w:tcMar>
              <w:top w:w="100" w:type="dxa"/>
              <w:left w:w="100" w:type="dxa"/>
              <w:bottom w:w="100" w:type="dxa"/>
              <w:right w:w="100" w:type="dxa"/>
            </w:tcMar>
          </w:tcPr>
          <w:p w:rsidR="007224A8" w:rsidRDefault="00F340C0">
            <w:pPr>
              <w:widowControl w:val="0"/>
              <w:pBdr>
                <w:top w:val="nil"/>
                <w:left w:val="nil"/>
                <w:bottom w:val="nil"/>
                <w:right w:val="nil"/>
                <w:between w:val="nil"/>
              </w:pBdr>
            </w:pPr>
            <w:r>
              <w:t>Exception</w:t>
            </w:r>
          </w:p>
        </w:tc>
        <w:tc>
          <w:tcPr>
            <w:tcW w:w="2689" w:type="dxa"/>
            <w:shd w:val="clear" w:color="auto" w:fill="auto"/>
            <w:tcMar>
              <w:top w:w="100" w:type="dxa"/>
              <w:left w:w="100" w:type="dxa"/>
              <w:bottom w:w="100" w:type="dxa"/>
              <w:right w:w="100" w:type="dxa"/>
            </w:tcMar>
          </w:tcPr>
          <w:p w:rsidR="007224A8" w:rsidRDefault="00F340C0">
            <w:pPr>
              <w:widowControl w:val="0"/>
              <w:pBdr>
                <w:top w:val="nil"/>
                <w:left w:val="nil"/>
                <w:bottom w:val="nil"/>
                <w:right w:val="nil"/>
                <w:between w:val="nil"/>
              </w:pBdr>
            </w:pPr>
            <w:r>
              <w:t>Explanation / Basis</w:t>
            </w:r>
          </w:p>
        </w:tc>
      </w:tr>
      <w:tr w:rsidR="007224A8">
        <w:tc>
          <w:tcPr>
            <w:tcW w:w="2689" w:type="dxa"/>
            <w:shd w:val="clear" w:color="auto" w:fill="auto"/>
            <w:tcMar>
              <w:top w:w="100" w:type="dxa"/>
              <w:left w:w="100" w:type="dxa"/>
              <w:bottom w:w="100" w:type="dxa"/>
              <w:right w:w="100" w:type="dxa"/>
            </w:tcMar>
          </w:tcPr>
          <w:p w:rsidR="007224A8" w:rsidRDefault="007224A8">
            <w:pPr>
              <w:widowControl w:val="0"/>
              <w:pBdr>
                <w:top w:val="nil"/>
                <w:left w:val="nil"/>
                <w:bottom w:val="nil"/>
                <w:right w:val="nil"/>
                <w:between w:val="nil"/>
              </w:pBdr>
            </w:pPr>
          </w:p>
        </w:tc>
        <w:tc>
          <w:tcPr>
            <w:tcW w:w="3314" w:type="dxa"/>
            <w:shd w:val="clear" w:color="auto" w:fill="auto"/>
            <w:tcMar>
              <w:top w:w="100" w:type="dxa"/>
              <w:left w:w="100" w:type="dxa"/>
              <w:bottom w:w="100" w:type="dxa"/>
              <w:right w:w="100" w:type="dxa"/>
            </w:tcMar>
          </w:tcPr>
          <w:p w:rsidR="007224A8" w:rsidRDefault="007224A8">
            <w:pPr>
              <w:widowControl w:val="0"/>
              <w:pBdr>
                <w:top w:val="nil"/>
                <w:left w:val="nil"/>
                <w:bottom w:val="nil"/>
                <w:right w:val="nil"/>
                <w:between w:val="nil"/>
              </w:pBdr>
            </w:pPr>
          </w:p>
        </w:tc>
        <w:tc>
          <w:tcPr>
            <w:tcW w:w="2689" w:type="dxa"/>
            <w:shd w:val="clear" w:color="auto" w:fill="auto"/>
            <w:tcMar>
              <w:top w:w="100" w:type="dxa"/>
              <w:left w:w="100" w:type="dxa"/>
              <w:bottom w:w="100" w:type="dxa"/>
              <w:right w:w="100" w:type="dxa"/>
            </w:tcMar>
          </w:tcPr>
          <w:p w:rsidR="007224A8" w:rsidRDefault="007224A8">
            <w:pPr>
              <w:widowControl w:val="0"/>
              <w:pBdr>
                <w:top w:val="nil"/>
                <w:left w:val="nil"/>
                <w:bottom w:val="nil"/>
                <w:right w:val="nil"/>
                <w:between w:val="nil"/>
              </w:pBdr>
            </w:pPr>
          </w:p>
        </w:tc>
      </w:tr>
      <w:tr w:rsidR="007224A8">
        <w:tc>
          <w:tcPr>
            <w:tcW w:w="2689" w:type="dxa"/>
            <w:shd w:val="clear" w:color="auto" w:fill="auto"/>
            <w:tcMar>
              <w:top w:w="100" w:type="dxa"/>
              <w:left w:w="100" w:type="dxa"/>
              <w:bottom w:w="100" w:type="dxa"/>
              <w:right w:w="100" w:type="dxa"/>
            </w:tcMar>
          </w:tcPr>
          <w:p w:rsidR="007224A8" w:rsidRDefault="007224A8">
            <w:pPr>
              <w:widowControl w:val="0"/>
              <w:pBdr>
                <w:top w:val="nil"/>
                <w:left w:val="nil"/>
                <w:bottom w:val="nil"/>
                <w:right w:val="nil"/>
                <w:between w:val="nil"/>
              </w:pBdr>
            </w:pPr>
          </w:p>
        </w:tc>
        <w:tc>
          <w:tcPr>
            <w:tcW w:w="3314" w:type="dxa"/>
            <w:shd w:val="clear" w:color="auto" w:fill="auto"/>
            <w:tcMar>
              <w:top w:w="100" w:type="dxa"/>
              <w:left w:w="100" w:type="dxa"/>
              <w:bottom w:w="100" w:type="dxa"/>
              <w:right w:w="100" w:type="dxa"/>
            </w:tcMar>
          </w:tcPr>
          <w:p w:rsidR="007224A8" w:rsidRDefault="007224A8">
            <w:pPr>
              <w:widowControl w:val="0"/>
              <w:pBdr>
                <w:top w:val="nil"/>
                <w:left w:val="nil"/>
                <w:bottom w:val="nil"/>
                <w:right w:val="nil"/>
                <w:between w:val="nil"/>
              </w:pBdr>
            </w:pPr>
          </w:p>
        </w:tc>
        <w:tc>
          <w:tcPr>
            <w:tcW w:w="2689" w:type="dxa"/>
            <w:shd w:val="clear" w:color="auto" w:fill="auto"/>
            <w:tcMar>
              <w:top w:w="100" w:type="dxa"/>
              <w:left w:w="100" w:type="dxa"/>
              <w:bottom w:w="100" w:type="dxa"/>
              <w:right w:w="100" w:type="dxa"/>
            </w:tcMar>
          </w:tcPr>
          <w:p w:rsidR="007224A8" w:rsidRDefault="007224A8">
            <w:pPr>
              <w:widowControl w:val="0"/>
              <w:pBdr>
                <w:top w:val="nil"/>
                <w:left w:val="nil"/>
                <w:bottom w:val="nil"/>
                <w:right w:val="nil"/>
                <w:between w:val="nil"/>
              </w:pBdr>
            </w:pPr>
          </w:p>
        </w:tc>
      </w:tr>
      <w:tr w:rsidR="007224A8">
        <w:tc>
          <w:tcPr>
            <w:tcW w:w="2689" w:type="dxa"/>
            <w:shd w:val="clear" w:color="auto" w:fill="auto"/>
            <w:tcMar>
              <w:top w:w="100" w:type="dxa"/>
              <w:left w:w="100" w:type="dxa"/>
              <w:bottom w:w="100" w:type="dxa"/>
              <w:right w:w="100" w:type="dxa"/>
            </w:tcMar>
          </w:tcPr>
          <w:p w:rsidR="007224A8" w:rsidRDefault="007224A8">
            <w:pPr>
              <w:widowControl w:val="0"/>
              <w:pBdr>
                <w:top w:val="nil"/>
                <w:left w:val="nil"/>
                <w:bottom w:val="nil"/>
                <w:right w:val="nil"/>
                <w:between w:val="nil"/>
              </w:pBdr>
            </w:pPr>
          </w:p>
        </w:tc>
        <w:tc>
          <w:tcPr>
            <w:tcW w:w="3314" w:type="dxa"/>
            <w:shd w:val="clear" w:color="auto" w:fill="auto"/>
            <w:tcMar>
              <w:top w:w="100" w:type="dxa"/>
              <w:left w:w="100" w:type="dxa"/>
              <w:bottom w:w="100" w:type="dxa"/>
              <w:right w:w="100" w:type="dxa"/>
            </w:tcMar>
          </w:tcPr>
          <w:p w:rsidR="007224A8" w:rsidRDefault="007224A8">
            <w:pPr>
              <w:widowControl w:val="0"/>
              <w:pBdr>
                <w:top w:val="nil"/>
                <w:left w:val="nil"/>
                <w:bottom w:val="nil"/>
                <w:right w:val="nil"/>
                <w:between w:val="nil"/>
              </w:pBdr>
            </w:pPr>
          </w:p>
        </w:tc>
        <w:tc>
          <w:tcPr>
            <w:tcW w:w="2689" w:type="dxa"/>
            <w:shd w:val="clear" w:color="auto" w:fill="auto"/>
            <w:tcMar>
              <w:top w:w="100" w:type="dxa"/>
              <w:left w:w="100" w:type="dxa"/>
              <w:bottom w:w="100" w:type="dxa"/>
              <w:right w:w="100" w:type="dxa"/>
            </w:tcMar>
          </w:tcPr>
          <w:p w:rsidR="007224A8" w:rsidRDefault="007224A8">
            <w:pPr>
              <w:widowControl w:val="0"/>
              <w:pBdr>
                <w:top w:val="nil"/>
                <w:left w:val="nil"/>
                <w:bottom w:val="nil"/>
                <w:right w:val="nil"/>
                <w:between w:val="nil"/>
              </w:pBdr>
            </w:pPr>
          </w:p>
        </w:tc>
      </w:tr>
      <w:tr w:rsidR="007224A8">
        <w:tc>
          <w:tcPr>
            <w:tcW w:w="2689" w:type="dxa"/>
            <w:shd w:val="clear" w:color="auto" w:fill="auto"/>
            <w:tcMar>
              <w:top w:w="100" w:type="dxa"/>
              <w:left w:w="100" w:type="dxa"/>
              <w:bottom w:w="100" w:type="dxa"/>
              <w:right w:w="100" w:type="dxa"/>
            </w:tcMar>
          </w:tcPr>
          <w:p w:rsidR="007224A8" w:rsidRDefault="007224A8">
            <w:pPr>
              <w:widowControl w:val="0"/>
              <w:pBdr>
                <w:top w:val="nil"/>
                <w:left w:val="nil"/>
                <w:bottom w:val="nil"/>
                <w:right w:val="nil"/>
                <w:between w:val="nil"/>
              </w:pBdr>
            </w:pPr>
          </w:p>
        </w:tc>
        <w:tc>
          <w:tcPr>
            <w:tcW w:w="3314" w:type="dxa"/>
            <w:shd w:val="clear" w:color="auto" w:fill="auto"/>
            <w:tcMar>
              <w:top w:w="100" w:type="dxa"/>
              <w:left w:w="100" w:type="dxa"/>
              <w:bottom w:w="100" w:type="dxa"/>
              <w:right w:w="100" w:type="dxa"/>
            </w:tcMar>
          </w:tcPr>
          <w:p w:rsidR="007224A8" w:rsidRDefault="007224A8">
            <w:pPr>
              <w:widowControl w:val="0"/>
              <w:pBdr>
                <w:top w:val="nil"/>
                <w:left w:val="nil"/>
                <w:bottom w:val="nil"/>
                <w:right w:val="nil"/>
                <w:between w:val="nil"/>
              </w:pBdr>
            </w:pPr>
          </w:p>
        </w:tc>
        <w:tc>
          <w:tcPr>
            <w:tcW w:w="2689" w:type="dxa"/>
            <w:shd w:val="clear" w:color="auto" w:fill="auto"/>
            <w:tcMar>
              <w:top w:w="100" w:type="dxa"/>
              <w:left w:w="100" w:type="dxa"/>
              <w:bottom w:w="100" w:type="dxa"/>
              <w:right w:w="100" w:type="dxa"/>
            </w:tcMar>
          </w:tcPr>
          <w:p w:rsidR="007224A8" w:rsidRDefault="007224A8">
            <w:pPr>
              <w:widowControl w:val="0"/>
              <w:pBdr>
                <w:top w:val="nil"/>
                <w:left w:val="nil"/>
                <w:bottom w:val="nil"/>
                <w:right w:val="nil"/>
                <w:between w:val="nil"/>
              </w:pBdr>
            </w:pPr>
          </w:p>
        </w:tc>
      </w:tr>
    </w:tbl>
    <w:p w:rsidR="007224A8" w:rsidRDefault="00F340C0">
      <w:pPr>
        <w:pStyle w:val="Heading1"/>
        <w:numPr>
          <w:ilvl w:val="0"/>
          <w:numId w:val="1"/>
        </w:numPr>
        <w:spacing w:before="400" w:line="273" w:lineRule="auto"/>
      </w:pPr>
      <w:r>
        <w:t>ROLES AND RESPONSIBILITIES</w:t>
      </w:r>
    </w:p>
    <w:p w:rsidR="007224A8" w:rsidRDefault="00F340C0">
      <w:pPr>
        <w:pStyle w:val="Heading2"/>
        <w:numPr>
          <w:ilvl w:val="1"/>
          <w:numId w:val="1"/>
        </w:numPr>
      </w:pPr>
      <w:r>
        <w:t>State Chief Information Officer (CIO) shall:</w:t>
      </w:r>
    </w:p>
    <w:p w:rsidR="007224A8" w:rsidRDefault="00F340C0">
      <w:pPr>
        <w:numPr>
          <w:ilvl w:val="0"/>
          <w:numId w:val="8"/>
        </w:numPr>
        <w:pBdr>
          <w:top w:val="nil"/>
          <w:left w:val="nil"/>
          <w:bottom w:val="nil"/>
          <w:right w:val="nil"/>
          <w:between w:val="nil"/>
        </w:pBdr>
        <w:spacing w:before="120"/>
        <w:rPr>
          <w:color w:val="000000"/>
        </w:rPr>
      </w:pPr>
      <w:r>
        <w:rPr>
          <w:color w:val="000000"/>
        </w:rPr>
        <w:t>Be ultimately responsible for the correct and thorough completion of Statewide Information Technology (IT) PSPs throughout all state budget units (BUs).</w:t>
      </w:r>
    </w:p>
    <w:p w:rsidR="007224A8" w:rsidRDefault="00F340C0">
      <w:pPr>
        <w:pStyle w:val="Heading2"/>
        <w:numPr>
          <w:ilvl w:val="1"/>
          <w:numId w:val="1"/>
        </w:numPr>
      </w:pPr>
      <w:r>
        <w:t>State Chief Information Security Officer (CISO) shall:</w:t>
      </w:r>
    </w:p>
    <w:p w:rsidR="007224A8" w:rsidRDefault="00F340C0">
      <w:pPr>
        <w:numPr>
          <w:ilvl w:val="0"/>
          <w:numId w:val="2"/>
        </w:numPr>
        <w:pBdr>
          <w:top w:val="nil"/>
          <w:left w:val="nil"/>
          <w:bottom w:val="nil"/>
          <w:right w:val="nil"/>
          <w:between w:val="nil"/>
        </w:pBdr>
        <w:spacing w:before="120"/>
        <w:rPr>
          <w:color w:val="000000"/>
        </w:rPr>
      </w:pPr>
      <w:r>
        <w:rPr>
          <w:color w:val="000000"/>
        </w:rPr>
        <w:t>Advise the State CIO on the completeness and adequacy of the BU activities and documentation provided to ensure compliance with IT PSPs throughout all state BUs;</w:t>
      </w:r>
    </w:p>
    <w:p w:rsidR="007224A8" w:rsidRDefault="00F340C0">
      <w:pPr>
        <w:numPr>
          <w:ilvl w:val="0"/>
          <w:numId w:val="2"/>
        </w:numPr>
        <w:pBdr>
          <w:top w:val="nil"/>
          <w:left w:val="nil"/>
          <w:bottom w:val="nil"/>
          <w:right w:val="nil"/>
          <w:between w:val="nil"/>
        </w:pBdr>
        <w:spacing w:before="120"/>
        <w:rPr>
          <w:color w:val="000000"/>
        </w:rPr>
      </w:pPr>
      <w:r>
        <w:rPr>
          <w:color w:val="000000"/>
        </w:rPr>
        <w:t>Review and approve BU security and privacy PSPs and requested exceptions from the statewide security and privacy PSPs; and</w:t>
      </w:r>
    </w:p>
    <w:p w:rsidR="007224A8" w:rsidRDefault="00F340C0">
      <w:pPr>
        <w:numPr>
          <w:ilvl w:val="0"/>
          <w:numId w:val="2"/>
        </w:numPr>
        <w:pBdr>
          <w:top w:val="nil"/>
          <w:left w:val="nil"/>
          <w:bottom w:val="nil"/>
          <w:right w:val="nil"/>
          <w:between w:val="nil"/>
        </w:pBdr>
        <w:spacing w:before="120"/>
        <w:rPr>
          <w:color w:val="000000"/>
        </w:rPr>
      </w:pPr>
      <w:r>
        <w:rPr>
          <w:color w:val="000000"/>
        </w:rPr>
        <w:lastRenderedPageBreak/>
        <w:t>Identify and convey to the State CIO the risk to state information systems and data based on current implementation of security controls and mitigation options to improve security.</w:t>
      </w:r>
    </w:p>
    <w:p w:rsidR="007224A8" w:rsidRDefault="00F340C0">
      <w:pPr>
        <w:pStyle w:val="Heading2"/>
        <w:numPr>
          <w:ilvl w:val="1"/>
          <w:numId w:val="1"/>
        </w:numPr>
      </w:pPr>
      <w:r>
        <w:t>BU Director shall:</w:t>
      </w:r>
    </w:p>
    <w:p w:rsidR="007224A8" w:rsidRDefault="00F340C0">
      <w:pPr>
        <w:numPr>
          <w:ilvl w:val="0"/>
          <w:numId w:val="11"/>
        </w:numPr>
        <w:pBdr>
          <w:top w:val="nil"/>
          <w:left w:val="nil"/>
          <w:bottom w:val="nil"/>
          <w:right w:val="nil"/>
          <w:between w:val="nil"/>
        </w:pBdr>
        <w:spacing w:before="120"/>
        <w:rPr>
          <w:color w:val="000000"/>
        </w:rPr>
      </w:pPr>
      <w:r>
        <w:rPr>
          <w:color w:val="000000"/>
        </w:rPr>
        <w:t>Be responsible for the correct and thorough completion of Information Technology PSPs within the BU;</w:t>
      </w:r>
    </w:p>
    <w:p w:rsidR="007224A8" w:rsidRDefault="00F340C0">
      <w:pPr>
        <w:numPr>
          <w:ilvl w:val="0"/>
          <w:numId w:val="11"/>
        </w:numPr>
        <w:pBdr>
          <w:top w:val="nil"/>
          <w:left w:val="nil"/>
          <w:bottom w:val="nil"/>
          <w:right w:val="nil"/>
          <w:between w:val="nil"/>
        </w:pBdr>
        <w:spacing w:before="120"/>
        <w:rPr>
          <w:color w:val="000000"/>
        </w:rPr>
      </w:pPr>
      <w:r>
        <w:rPr>
          <w:color w:val="000000"/>
        </w:rPr>
        <w:t>Ensure BU compliance with Media Protection Policy; and</w:t>
      </w:r>
    </w:p>
    <w:p w:rsidR="007224A8" w:rsidRDefault="00F340C0">
      <w:pPr>
        <w:numPr>
          <w:ilvl w:val="0"/>
          <w:numId w:val="11"/>
        </w:numPr>
        <w:pBdr>
          <w:top w:val="nil"/>
          <w:left w:val="nil"/>
          <w:bottom w:val="nil"/>
          <w:right w:val="nil"/>
          <w:between w:val="nil"/>
        </w:pBdr>
        <w:spacing w:before="120"/>
        <w:rPr>
          <w:color w:val="000000"/>
        </w:rPr>
      </w:pPr>
      <w:r>
        <w:rPr>
          <w:color w:val="000000"/>
        </w:rPr>
        <w:t>Promote efforts within the BU to establish and maintain effective use of agency information systems and assets.</w:t>
      </w:r>
    </w:p>
    <w:p w:rsidR="007224A8" w:rsidRDefault="00F340C0">
      <w:pPr>
        <w:pStyle w:val="Heading2"/>
        <w:numPr>
          <w:ilvl w:val="1"/>
          <w:numId w:val="1"/>
        </w:numPr>
      </w:pPr>
      <w:r>
        <w:t>BU CIO shall:</w:t>
      </w:r>
    </w:p>
    <w:p w:rsidR="007224A8" w:rsidRDefault="00F340C0">
      <w:pPr>
        <w:numPr>
          <w:ilvl w:val="0"/>
          <w:numId w:val="10"/>
        </w:numPr>
        <w:pBdr>
          <w:top w:val="nil"/>
          <w:left w:val="nil"/>
          <w:bottom w:val="nil"/>
          <w:right w:val="nil"/>
          <w:between w:val="nil"/>
        </w:pBdr>
        <w:spacing w:before="120"/>
        <w:rPr>
          <w:color w:val="000000"/>
        </w:rPr>
      </w:pPr>
      <w:r>
        <w:rPr>
          <w:color w:val="000000"/>
        </w:rPr>
        <w:t>Work with the BU Director to ensure the correct and thorough completion of BU Information Technology PSPs; and</w:t>
      </w:r>
    </w:p>
    <w:p w:rsidR="007224A8" w:rsidRDefault="00F340C0">
      <w:pPr>
        <w:numPr>
          <w:ilvl w:val="0"/>
          <w:numId w:val="10"/>
        </w:numPr>
        <w:pBdr>
          <w:top w:val="nil"/>
          <w:left w:val="nil"/>
          <w:bottom w:val="nil"/>
          <w:right w:val="nil"/>
          <w:between w:val="nil"/>
        </w:pBdr>
        <w:spacing w:before="120"/>
        <w:rPr>
          <w:color w:val="000000"/>
        </w:rPr>
      </w:pPr>
      <w:r>
        <w:rPr>
          <w:color w:val="000000"/>
        </w:rPr>
        <w:t>Ensure Media Protection PSPs are periodically reviewed and updated.</w:t>
      </w:r>
    </w:p>
    <w:p w:rsidR="007224A8" w:rsidRDefault="00F340C0">
      <w:pPr>
        <w:pStyle w:val="Heading2"/>
        <w:numPr>
          <w:ilvl w:val="1"/>
          <w:numId w:val="1"/>
        </w:numPr>
      </w:pPr>
      <w:r>
        <w:t xml:space="preserve">BU Information Security Officer (ISO) shall: </w:t>
      </w:r>
    </w:p>
    <w:p w:rsidR="007224A8" w:rsidRDefault="00F340C0">
      <w:pPr>
        <w:numPr>
          <w:ilvl w:val="0"/>
          <w:numId w:val="9"/>
        </w:numPr>
        <w:pBdr>
          <w:top w:val="nil"/>
          <w:left w:val="nil"/>
          <w:bottom w:val="nil"/>
          <w:right w:val="nil"/>
          <w:between w:val="nil"/>
        </w:pBdr>
        <w:spacing w:before="120"/>
        <w:rPr>
          <w:color w:val="000000"/>
        </w:rPr>
      </w:pPr>
      <w:r>
        <w:rPr>
          <w:color w:val="000000"/>
        </w:rPr>
        <w:t xml:space="preserve">Advise the BU CIO on the completeness and adequacy of the BU activities  and documentation provided to ensure compliance with IT PSPs; </w:t>
      </w:r>
    </w:p>
    <w:p w:rsidR="007224A8" w:rsidRDefault="00F340C0">
      <w:pPr>
        <w:numPr>
          <w:ilvl w:val="0"/>
          <w:numId w:val="9"/>
        </w:numPr>
        <w:pBdr>
          <w:top w:val="nil"/>
          <w:left w:val="nil"/>
          <w:bottom w:val="nil"/>
          <w:right w:val="nil"/>
          <w:between w:val="nil"/>
        </w:pBdr>
        <w:spacing w:before="120"/>
        <w:rPr>
          <w:color w:val="000000"/>
        </w:rPr>
      </w:pPr>
      <w:r>
        <w:rPr>
          <w:color w:val="000000"/>
        </w:rPr>
        <w:t xml:space="preserve">Ensure the development and implementation of an adequate controls enforcing Media Protection PSPs for the BU; </w:t>
      </w:r>
    </w:p>
    <w:p w:rsidR="007224A8" w:rsidRDefault="00F340C0">
      <w:pPr>
        <w:numPr>
          <w:ilvl w:val="0"/>
          <w:numId w:val="9"/>
        </w:numPr>
        <w:pBdr>
          <w:top w:val="nil"/>
          <w:left w:val="nil"/>
          <w:bottom w:val="nil"/>
          <w:right w:val="nil"/>
          <w:between w:val="nil"/>
        </w:pBdr>
        <w:spacing w:before="120"/>
        <w:rPr>
          <w:color w:val="000000"/>
        </w:rPr>
      </w:pPr>
      <w:r>
        <w:rPr>
          <w:color w:val="000000"/>
        </w:rPr>
        <w:t>Request changes and/or exceptions to existing Media Protection PSPs from the State CISO; and</w:t>
      </w:r>
    </w:p>
    <w:p w:rsidR="007224A8" w:rsidRDefault="00F340C0">
      <w:pPr>
        <w:numPr>
          <w:ilvl w:val="0"/>
          <w:numId w:val="9"/>
        </w:numPr>
        <w:pBdr>
          <w:top w:val="nil"/>
          <w:left w:val="nil"/>
          <w:bottom w:val="nil"/>
          <w:right w:val="nil"/>
          <w:between w:val="nil"/>
        </w:pBdr>
        <w:spacing w:before="120"/>
        <w:rPr>
          <w:color w:val="000000"/>
        </w:rPr>
      </w:pPr>
      <w:r>
        <w:rPr>
          <w:color w:val="000000"/>
        </w:rPr>
        <w:t>Ensure all personnel understand their responsibilities with respect to protection of removable media in connection with agency information systems and premises.</w:t>
      </w:r>
    </w:p>
    <w:p w:rsidR="007224A8" w:rsidRDefault="00F340C0">
      <w:pPr>
        <w:pStyle w:val="Heading2"/>
        <w:numPr>
          <w:ilvl w:val="1"/>
          <w:numId w:val="1"/>
        </w:numPr>
      </w:pPr>
      <w:r>
        <w:t>Supervisors of agency employees and contractors shall:</w:t>
      </w:r>
    </w:p>
    <w:p w:rsidR="007224A8" w:rsidRDefault="00F340C0">
      <w:pPr>
        <w:numPr>
          <w:ilvl w:val="0"/>
          <w:numId w:val="7"/>
        </w:numPr>
        <w:pBdr>
          <w:top w:val="nil"/>
          <w:left w:val="nil"/>
          <w:bottom w:val="nil"/>
          <w:right w:val="nil"/>
          <w:between w:val="nil"/>
        </w:pBdr>
        <w:spacing w:before="120"/>
        <w:rPr>
          <w:color w:val="000000"/>
        </w:rPr>
      </w:pPr>
      <w:r>
        <w:rPr>
          <w:color w:val="000000"/>
        </w:rPr>
        <w:t>Ensure users are appropriately trained and educated on Media Protection Policies; and</w:t>
      </w:r>
    </w:p>
    <w:p w:rsidR="007224A8" w:rsidRDefault="00F340C0">
      <w:pPr>
        <w:numPr>
          <w:ilvl w:val="0"/>
          <w:numId w:val="7"/>
        </w:numPr>
        <w:pBdr>
          <w:top w:val="nil"/>
          <w:left w:val="nil"/>
          <w:bottom w:val="nil"/>
          <w:right w:val="nil"/>
          <w:between w:val="nil"/>
        </w:pBdr>
        <w:spacing w:before="120"/>
        <w:rPr>
          <w:color w:val="000000"/>
        </w:rPr>
      </w:pPr>
      <w:r>
        <w:rPr>
          <w:color w:val="000000"/>
        </w:rPr>
        <w:t>Monitor employee activities to ensure compliance.</w:t>
      </w:r>
    </w:p>
    <w:p w:rsidR="007224A8" w:rsidRDefault="00F340C0">
      <w:pPr>
        <w:pStyle w:val="Heading2"/>
        <w:numPr>
          <w:ilvl w:val="1"/>
          <w:numId w:val="1"/>
        </w:numPr>
      </w:pPr>
      <w:r>
        <w:t>Users of agency information systems shall:</w:t>
      </w:r>
    </w:p>
    <w:p w:rsidR="007224A8" w:rsidRDefault="00F340C0">
      <w:pPr>
        <w:numPr>
          <w:ilvl w:val="0"/>
          <w:numId w:val="5"/>
        </w:numPr>
        <w:pBdr>
          <w:top w:val="nil"/>
          <w:left w:val="nil"/>
          <w:bottom w:val="nil"/>
          <w:right w:val="nil"/>
          <w:between w:val="nil"/>
        </w:pBdr>
        <w:spacing w:before="120"/>
        <w:rPr>
          <w:color w:val="000000"/>
        </w:rPr>
      </w:pPr>
      <w:r>
        <w:rPr>
          <w:color w:val="000000"/>
        </w:rPr>
        <w:t>Familiarize themselves with this policy and related PSPs; and</w:t>
      </w:r>
    </w:p>
    <w:p w:rsidR="007224A8" w:rsidRDefault="00F340C0">
      <w:pPr>
        <w:numPr>
          <w:ilvl w:val="0"/>
          <w:numId w:val="5"/>
        </w:numPr>
        <w:pBdr>
          <w:top w:val="nil"/>
          <w:left w:val="nil"/>
          <w:bottom w:val="nil"/>
          <w:right w:val="nil"/>
          <w:between w:val="nil"/>
        </w:pBdr>
        <w:spacing w:before="120"/>
        <w:rPr>
          <w:color w:val="000000"/>
        </w:rPr>
      </w:pPr>
      <w:bookmarkStart w:id="3" w:name="_1fob9te" w:colFirst="0" w:colLast="0"/>
      <w:bookmarkEnd w:id="3"/>
      <w:r>
        <w:rPr>
          <w:color w:val="000000"/>
        </w:rPr>
        <w:t>Adhere to PSPs regarding protection of removable media in connection with agency information systems and premises.</w:t>
      </w:r>
    </w:p>
    <w:p w:rsidR="007224A8" w:rsidRDefault="00342D43">
      <w:pPr>
        <w:pStyle w:val="Heading1"/>
        <w:numPr>
          <w:ilvl w:val="0"/>
          <w:numId w:val="1"/>
        </w:numPr>
        <w:spacing w:before="0"/>
      </w:pPr>
      <w:r>
        <w:t>(Agency)</w:t>
      </w:r>
      <w:r w:rsidR="00F340C0">
        <w:t xml:space="preserve"> POLICY </w:t>
      </w:r>
    </w:p>
    <w:p w:rsidR="007224A8" w:rsidRDefault="00F340C0">
      <w:pPr>
        <w:pStyle w:val="Heading2"/>
        <w:numPr>
          <w:ilvl w:val="1"/>
          <w:numId w:val="1"/>
        </w:numPr>
      </w:pPr>
      <w:r>
        <w:rPr>
          <w:b/>
        </w:rPr>
        <w:lastRenderedPageBreak/>
        <w:t>Media Access</w:t>
      </w:r>
      <w:r>
        <w:t xml:space="preserve"> - The BU shall restrict access to digital and non-digital media to authorized individuals. [NIST 800-53 MP-2] [HIPAA 164.308(a</w:t>
      </w:r>
      <w:proofErr w:type="gramStart"/>
      <w:r>
        <w:t>)(</w:t>
      </w:r>
      <w:proofErr w:type="gramEnd"/>
      <w:r>
        <w:t>3)(ii)(A)] [PCI DSS 9.6] [IRS Pub 1075]</w:t>
      </w:r>
    </w:p>
    <w:p w:rsidR="007224A8" w:rsidRDefault="00F340C0">
      <w:pPr>
        <w:pStyle w:val="Heading2"/>
        <w:numPr>
          <w:ilvl w:val="1"/>
          <w:numId w:val="1"/>
        </w:numPr>
      </w:pPr>
      <w:r>
        <w:t>(P)</w:t>
      </w:r>
      <w:r>
        <w:rPr>
          <w:b/>
        </w:rPr>
        <w:t xml:space="preserve"> Media Marking</w:t>
      </w:r>
      <w:r>
        <w:t xml:space="preserve"> - The BU shall mark, in accordance with BU policies and procedures, information system digital and non-digital media containing Confidential information indicating the distribution limitations, handling caveats, and applicable security markings (if any) of the information, as well as exempt removable digital media from marking as long as the exempted items remain with a controlled environment. [NIST 800-53 MP-3] [PCI DSS 9.6.1] [IRS Pub 1075]</w:t>
      </w:r>
    </w:p>
    <w:p w:rsidR="007224A8" w:rsidRDefault="00F340C0">
      <w:pPr>
        <w:pStyle w:val="Heading2"/>
        <w:numPr>
          <w:ilvl w:val="1"/>
          <w:numId w:val="1"/>
        </w:numPr>
      </w:pPr>
      <w:r>
        <w:t>(P)</w:t>
      </w:r>
      <w:r>
        <w:rPr>
          <w:b/>
        </w:rPr>
        <w:t xml:space="preserve"> Media Storage -</w:t>
      </w:r>
      <w:r>
        <w:t xml:space="preserve"> The BU shall physically control and securely store digital and non-digital media containing </w:t>
      </w:r>
      <w:proofErr w:type="gramStart"/>
      <w:r>
        <w:t>Confidential</w:t>
      </w:r>
      <w:proofErr w:type="gramEnd"/>
      <w:r>
        <w:t xml:space="preserve"> information within controlled areas. [NIST 800-53 MP-4] [ARS 39-101] [PCI DSS 9.5] [PCI DSS 9.7] [IRS Pub 1075]</w:t>
      </w:r>
    </w:p>
    <w:p w:rsidR="007224A8" w:rsidRDefault="00F340C0">
      <w:pPr>
        <w:pStyle w:val="Heading2"/>
        <w:numPr>
          <w:ilvl w:val="1"/>
          <w:numId w:val="1"/>
        </w:numPr>
      </w:pPr>
      <w:r>
        <w:t>(P)</w:t>
      </w:r>
      <w:r>
        <w:rPr>
          <w:b/>
        </w:rPr>
        <w:t xml:space="preserve"> Media Inventories - </w:t>
      </w:r>
      <w:r>
        <w:t xml:space="preserve">The BU shall maintain inventory logs of all digital media containing </w:t>
      </w:r>
      <w:proofErr w:type="gramStart"/>
      <w:r>
        <w:t>Confidential</w:t>
      </w:r>
      <w:proofErr w:type="gramEnd"/>
      <w:r>
        <w:t xml:space="preserve"> information and conduct inventories annually. [PCI DSS 9.7.1]</w:t>
      </w:r>
    </w:p>
    <w:p w:rsidR="007224A8" w:rsidRDefault="00F340C0">
      <w:pPr>
        <w:pStyle w:val="Heading2"/>
        <w:numPr>
          <w:ilvl w:val="1"/>
          <w:numId w:val="1"/>
        </w:numPr>
      </w:pPr>
      <w:r>
        <w:t>(P)</w:t>
      </w:r>
      <w:r>
        <w:rPr>
          <w:b/>
        </w:rPr>
        <w:t xml:space="preserve"> Media Transport –</w:t>
      </w:r>
      <w:r>
        <w:t xml:space="preserve"> The BU shall protect and control digital and non-digital media containing </w:t>
      </w:r>
      <w:proofErr w:type="gramStart"/>
      <w:r>
        <w:t>Confidential</w:t>
      </w:r>
      <w:proofErr w:type="gramEnd"/>
      <w:r>
        <w:t xml:space="preserve"> information during transport outside controlled areas.  [NIST 800-53 MP-5] [PCI DSS 9.6] [IRS Pub 1075]</w:t>
      </w:r>
    </w:p>
    <w:p w:rsidR="007224A8" w:rsidRDefault="00F340C0">
      <w:pPr>
        <w:pStyle w:val="Heading3"/>
        <w:numPr>
          <w:ilvl w:val="2"/>
          <w:numId w:val="1"/>
        </w:numPr>
      </w:pPr>
      <w:r>
        <w:t>(P)</w:t>
      </w:r>
      <w:r>
        <w:rPr>
          <w:b/>
        </w:rPr>
        <w:t xml:space="preserve"> Cryptographic Protection -</w:t>
      </w:r>
      <w:r>
        <w:t xml:space="preserve"> The BU shall employ cryptographic mechanisms to protect the confidentiality and integrity of information stored on digital media during transport outside controlled areas.  Cryptographic mechanisms must comply with System and Communication Protection Standard S8350. [NIST 800-53 MP-5(4)] [HIPAA 164.312(c</w:t>
      </w:r>
      <w:proofErr w:type="gramStart"/>
      <w:r>
        <w:t>)(</w:t>
      </w:r>
      <w:proofErr w:type="gramEnd"/>
      <w:r>
        <w:t>2)] [IRS Pub 1075]</w:t>
      </w:r>
    </w:p>
    <w:p w:rsidR="007224A8" w:rsidRDefault="00F340C0">
      <w:pPr>
        <w:pStyle w:val="Heading3"/>
        <w:numPr>
          <w:ilvl w:val="2"/>
          <w:numId w:val="1"/>
        </w:numPr>
      </w:pPr>
      <w:r>
        <w:t>(P)</w:t>
      </w:r>
      <w:r>
        <w:rPr>
          <w:b/>
        </w:rPr>
        <w:t xml:space="preserve"> Secure Delivery -</w:t>
      </w:r>
      <w:r>
        <w:t xml:space="preserve"> The BU shall send confidential digital and non-digital media by secured courier or other delivery method. [PCI DSS 9.6.2] </w:t>
      </w:r>
    </w:p>
    <w:p w:rsidR="007224A8" w:rsidRDefault="00F340C0">
      <w:pPr>
        <w:pStyle w:val="Heading3"/>
        <w:numPr>
          <w:ilvl w:val="2"/>
          <w:numId w:val="1"/>
        </w:numPr>
      </w:pPr>
      <w:r>
        <w:t>(P-HIPAA)</w:t>
      </w:r>
      <w:r>
        <w:rPr>
          <w:b/>
        </w:rPr>
        <w:t xml:space="preserve"> Record of Movement -</w:t>
      </w:r>
      <w:r>
        <w:t xml:space="preserve"> The BU shall maintain a record, including the person(s) responsible, of the movements of hardware and digital media. [HIPAA 164.310(d</w:t>
      </w:r>
      <w:proofErr w:type="gramStart"/>
      <w:r>
        <w:t>)(</w:t>
      </w:r>
      <w:proofErr w:type="gramEnd"/>
      <w:r>
        <w:t>2)(iii)]</w:t>
      </w:r>
    </w:p>
    <w:p w:rsidR="007224A8" w:rsidRDefault="00F340C0">
      <w:pPr>
        <w:pStyle w:val="Heading3"/>
        <w:numPr>
          <w:ilvl w:val="3"/>
          <w:numId w:val="1"/>
        </w:numPr>
        <w:ind w:left="2520"/>
      </w:pPr>
      <w:r>
        <w:t>(P)</w:t>
      </w:r>
      <w:r>
        <w:rPr>
          <w:b/>
        </w:rPr>
        <w:t xml:space="preserve"> Data Backup -</w:t>
      </w:r>
      <w:r>
        <w:t xml:space="preserve"> The BU shall create a retrievable, exact copy of Confidential data, when needed before movement of equipment. [HIPAA 164.310(d</w:t>
      </w:r>
      <w:proofErr w:type="gramStart"/>
      <w:r>
        <w:t>)(</w:t>
      </w:r>
      <w:proofErr w:type="gramEnd"/>
      <w:r>
        <w:t>2)(iv)]</w:t>
      </w:r>
    </w:p>
    <w:p w:rsidR="007224A8" w:rsidRDefault="00F340C0">
      <w:pPr>
        <w:pStyle w:val="Heading3"/>
        <w:numPr>
          <w:ilvl w:val="3"/>
          <w:numId w:val="1"/>
        </w:numPr>
        <w:ind w:left="2520"/>
      </w:pPr>
      <w:r>
        <w:t>(P)</w:t>
      </w:r>
      <w:r>
        <w:rPr>
          <w:b/>
        </w:rPr>
        <w:t xml:space="preserve"> Backup Storage -</w:t>
      </w:r>
      <w:r>
        <w:t xml:space="preserve"> The BU shall store digital media backups in a secure location and review the location’s security, at least annually. [PCI DSS 9.5.1]</w:t>
      </w:r>
    </w:p>
    <w:p w:rsidR="007224A8" w:rsidRDefault="00F340C0">
      <w:pPr>
        <w:pStyle w:val="Heading3"/>
        <w:numPr>
          <w:ilvl w:val="2"/>
          <w:numId w:val="1"/>
        </w:numPr>
      </w:pPr>
      <w:r>
        <w:t>(P)</w:t>
      </w:r>
      <w:r>
        <w:rPr>
          <w:b/>
        </w:rPr>
        <w:t xml:space="preserve"> Management Approval -</w:t>
      </w:r>
      <w:r>
        <w:t xml:space="preserve"> The BU shall ensure management approves any media that is moved from a controlled area. [PCI DSS 9.6.3]</w:t>
      </w:r>
    </w:p>
    <w:p w:rsidR="007224A8" w:rsidRDefault="00F340C0">
      <w:pPr>
        <w:pStyle w:val="Heading2"/>
        <w:numPr>
          <w:ilvl w:val="1"/>
          <w:numId w:val="1"/>
        </w:numPr>
      </w:pPr>
      <w:r>
        <w:rPr>
          <w:b/>
        </w:rPr>
        <w:t>Media Sanitization -</w:t>
      </w:r>
      <w:r>
        <w:t xml:space="preserve"> The BU shall sanitize digital and non-digital information system media containing </w:t>
      </w:r>
      <w:proofErr w:type="gramStart"/>
      <w:r>
        <w:t>Confidential</w:t>
      </w:r>
      <w:proofErr w:type="gramEnd"/>
      <w:r>
        <w:t xml:space="preserve"> information prior to disposal, release of organizational </w:t>
      </w:r>
      <w:r>
        <w:lastRenderedPageBreak/>
        <w:t>control, or release for reuse using defined sanitization techniques and procedures in accordance with the Media Protection Standard S8250. [NIST 800-53 MP-6] [HIPAA 164.310(d</w:t>
      </w:r>
      <w:proofErr w:type="gramStart"/>
      <w:r>
        <w:t>)(</w:t>
      </w:r>
      <w:proofErr w:type="gramEnd"/>
      <w:r>
        <w:t>2)(i)] [HIPAA 164.310(d</w:t>
      </w:r>
      <w:proofErr w:type="gramStart"/>
      <w:r>
        <w:t>)(</w:t>
      </w:r>
      <w:proofErr w:type="gramEnd"/>
      <w:r>
        <w:t>2)(ii)] [IRS Pub 1075] [PCI DSS 9.8, 9.8.1, 9.8.2]</w:t>
      </w:r>
    </w:p>
    <w:p w:rsidR="007224A8" w:rsidRDefault="00F340C0">
      <w:pPr>
        <w:pStyle w:val="Heading3"/>
        <w:numPr>
          <w:ilvl w:val="2"/>
          <w:numId w:val="1"/>
        </w:numPr>
        <w:ind w:left="1440"/>
      </w:pPr>
      <w:r>
        <w:rPr>
          <w:b/>
          <w:color w:val="000000"/>
        </w:rPr>
        <w:t>Secure Storage</w:t>
      </w:r>
      <w:r>
        <w:rPr>
          <w:color w:val="000000"/>
        </w:rPr>
        <w:t xml:space="preserve"> -</w:t>
      </w:r>
      <w:r>
        <w:rPr>
          <w:rFonts w:ascii="Merriweather Sans" w:eastAsia="Merriweather Sans" w:hAnsi="Merriweather Sans" w:cs="Merriweather Sans"/>
          <w:color w:val="000000"/>
        </w:rPr>
        <w:t xml:space="preserve"> </w:t>
      </w:r>
      <w:r>
        <w:rPr>
          <w:color w:val="000000"/>
        </w:rPr>
        <w:t>Secure storage containers used for materials that are to be destroyed.</w:t>
      </w:r>
      <w:r>
        <w:t xml:space="preserve"> [PCI DSS 9.8.1]</w:t>
      </w:r>
    </w:p>
    <w:p w:rsidR="007224A8" w:rsidRDefault="00F340C0">
      <w:pPr>
        <w:pStyle w:val="Heading2"/>
        <w:numPr>
          <w:ilvl w:val="1"/>
          <w:numId w:val="1"/>
        </w:numPr>
      </w:pPr>
      <w:r>
        <w:rPr>
          <w:b/>
        </w:rPr>
        <w:t>Media Use –</w:t>
      </w:r>
      <w:r>
        <w:t xml:space="preserve"> The BU shall restrict the use of [BU-specified type of digital media] on [BU-specified agency information systems and/or system components]. [NIST 800-53 MP-7] [IRS Pub 1075] </w:t>
      </w:r>
    </w:p>
    <w:p w:rsidR="007224A8" w:rsidRDefault="00F340C0">
      <w:pPr>
        <w:pStyle w:val="Heading3"/>
        <w:numPr>
          <w:ilvl w:val="2"/>
          <w:numId w:val="1"/>
        </w:numPr>
      </w:pPr>
      <w:r>
        <w:t>(P)</w:t>
      </w:r>
      <w:r>
        <w:rPr>
          <w:b/>
        </w:rPr>
        <w:t xml:space="preserve"> BU Restrictions -</w:t>
      </w:r>
      <w:r>
        <w:t xml:space="preserve"> The BU shall employ PSPs on the use of removable media in BU agency information systems. [NIST 800-53 MP-7(1)] [HIPAA 164.310(d</w:t>
      </w:r>
      <w:proofErr w:type="gramStart"/>
      <w:r>
        <w:t>)(</w:t>
      </w:r>
      <w:proofErr w:type="gramEnd"/>
      <w:r>
        <w:t>1)]</w:t>
      </w:r>
    </w:p>
    <w:p w:rsidR="007224A8" w:rsidRDefault="00F340C0">
      <w:pPr>
        <w:pStyle w:val="Heading3"/>
        <w:numPr>
          <w:ilvl w:val="2"/>
          <w:numId w:val="1"/>
        </w:numPr>
      </w:pPr>
      <w:r>
        <w:t>(P)</w:t>
      </w:r>
      <w:r>
        <w:rPr>
          <w:b/>
        </w:rPr>
        <w:t xml:space="preserve"> Prohibition of Use without Known Owner -</w:t>
      </w:r>
      <w:r>
        <w:t xml:space="preserve"> The BU shall prohibit the use of removable media in BU agency information systems when the media has no identifiable owner. [NIST 800-53 MP-7(2)] [IRS Pub 1075]</w:t>
      </w:r>
    </w:p>
    <w:p w:rsidR="007224A8" w:rsidRDefault="00F340C0">
      <w:pPr>
        <w:pStyle w:val="Heading1"/>
        <w:numPr>
          <w:ilvl w:val="0"/>
          <w:numId w:val="1"/>
        </w:numPr>
        <w:spacing w:before="400" w:line="273" w:lineRule="auto"/>
      </w:pPr>
      <w:r>
        <w:t>DEFINITIONS AND ABBREVIATIONS</w:t>
      </w:r>
    </w:p>
    <w:p w:rsidR="007224A8" w:rsidRDefault="00F340C0">
      <w:pPr>
        <w:pStyle w:val="Heading2"/>
        <w:numPr>
          <w:ilvl w:val="1"/>
          <w:numId w:val="1"/>
        </w:numPr>
      </w:pPr>
      <w:r>
        <w:t>Refer to the PSP Glossary of Terms located on the ADOA-ASET website.</w:t>
      </w:r>
    </w:p>
    <w:p w:rsidR="007224A8" w:rsidRDefault="00F340C0">
      <w:pPr>
        <w:pStyle w:val="Heading1"/>
        <w:numPr>
          <w:ilvl w:val="0"/>
          <w:numId w:val="1"/>
        </w:numPr>
        <w:spacing w:before="400" w:line="273" w:lineRule="auto"/>
      </w:pPr>
      <w:r>
        <w:t>REFERENCES</w:t>
      </w:r>
    </w:p>
    <w:p w:rsidR="007224A8" w:rsidRDefault="00F340C0">
      <w:pPr>
        <w:pStyle w:val="Heading2"/>
        <w:numPr>
          <w:ilvl w:val="1"/>
          <w:numId w:val="1"/>
        </w:numPr>
      </w:pPr>
      <w:r>
        <w:t>STATEWIDE POLICY FRAMEWORK P8250 Media Protection</w:t>
      </w:r>
    </w:p>
    <w:p w:rsidR="007224A8" w:rsidRDefault="00F340C0">
      <w:pPr>
        <w:pStyle w:val="Heading2"/>
        <w:numPr>
          <w:ilvl w:val="1"/>
          <w:numId w:val="1"/>
        </w:numPr>
      </w:pPr>
      <w:r>
        <w:t xml:space="preserve">Statewide Policy Exception Procedure </w:t>
      </w:r>
    </w:p>
    <w:p w:rsidR="007224A8" w:rsidRDefault="00F340C0">
      <w:pPr>
        <w:pStyle w:val="Heading2"/>
        <w:numPr>
          <w:ilvl w:val="1"/>
          <w:numId w:val="1"/>
        </w:numPr>
      </w:pPr>
      <w:r>
        <w:t xml:space="preserve">Statewide Standard S8250, Media Protection </w:t>
      </w:r>
    </w:p>
    <w:p w:rsidR="007224A8" w:rsidRDefault="00F340C0">
      <w:pPr>
        <w:pStyle w:val="Heading2"/>
        <w:numPr>
          <w:ilvl w:val="1"/>
          <w:numId w:val="1"/>
        </w:numPr>
      </w:pPr>
      <w:r>
        <w:t>System and Communication Protection, Standard S8350</w:t>
      </w:r>
    </w:p>
    <w:p w:rsidR="007224A8" w:rsidRDefault="00F340C0">
      <w:pPr>
        <w:pStyle w:val="Heading2"/>
        <w:numPr>
          <w:ilvl w:val="1"/>
          <w:numId w:val="1"/>
        </w:numPr>
      </w:pPr>
      <w:r>
        <w:t xml:space="preserve">NIST 800-53 Rev. </w:t>
      </w:r>
      <w:proofErr w:type="gramStart"/>
      <w:r>
        <w:t>4,</w:t>
      </w:r>
      <w:proofErr w:type="gramEnd"/>
      <w:r>
        <w:t xml:space="preserve"> Recommended Security Controls for Federal Information Systems and Organizations, February 2013.</w:t>
      </w:r>
    </w:p>
    <w:p w:rsidR="007224A8" w:rsidRDefault="00F340C0">
      <w:pPr>
        <w:pStyle w:val="Heading2"/>
        <w:numPr>
          <w:ilvl w:val="1"/>
          <w:numId w:val="1"/>
        </w:numPr>
      </w:pPr>
      <w:r>
        <w:t>HIPAA Administrative Simplification Regulation, Security and Privacy, CFR 45 Part 164, February 2006</w:t>
      </w:r>
    </w:p>
    <w:p w:rsidR="007224A8" w:rsidRDefault="00F340C0">
      <w:pPr>
        <w:pStyle w:val="Heading2"/>
        <w:numPr>
          <w:ilvl w:val="1"/>
          <w:numId w:val="1"/>
        </w:numPr>
      </w:pPr>
      <w:proofErr w:type="gramStart"/>
      <w:r>
        <w:t>Payment Card Industry Data Security Standard (PCI DSS) v3.2.1, PCI Security Standards Council, May 2018.</w:t>
      </w:r>
      <w:proofErr w:type="gramEnd"/>
    </w:p>
    <w:p w:rsidR="007224A8" w:rsidRDefault="00F340C0">
      <w:pPr>
        <w:pStyle w:val="Heading2"/>
        <w:numPr>
          <w:ilvl w:val="1"/>
          <w:numId w:val="1"/>
        </w:numPr>
      </w:pPr>
      <w:r>
        <w:t>IRS Publication 1075, Tax Information Security Guidelines for Federal, State, and Local Agencies: Safeguards for Protecting Federal Tax Returns and Return Information, 2010.</w:t>
      </w:r>
    </w:p>
    <w:p w:rsidR="007224A8" w:rsidRDefault="00F340C0">
      <w:pPr>
        <w:pStyle w:val="Heading1"/>
        <w:numPr>
          <w:ilvl w:val="0"/>
          <w:numId w:val="1"/>
        </w:numPr>
        <w:spacing w:before="400" w:line="273" w:lineRule="auto"/>
      </w:pPr>
      <w:r>
        <w:t>ATTACHMENTS</w:t>
      </w:r>
    </w:p>
    <w:p w:rsidR="007224A8" w:rsidRDefault="00F340C0">
      <w:proofErr w:type="gramStart"/>
      <w:r>
        <w:lastRenderedPageBreak/>
        <w:t>None.</w:t>
      </w:r>
      <w:proofErr w:type="gramEnd"/>
    </w:p>
    <w:p w:rsidR="007224A8" w:rsidRDefault="00F340C0">
      <w:pPr>
        <w:pStyle w:val="Heading1"/>
        <w:numPr>
          <w:ilvl w:val="0"/>
          <w:numId w:val="1"/>
        </w:numPr>
        <w:spacing w:before="400" w:line="273" w:lineRule="auto"/>
      </w:pPr>
      <w:r>
        <w:t>REVISION HISTORY</w:t>
      </w:r>
    </w:p>
    <w:tbl>
      <w:tblPr>
        <w:tblStyle w:val="a1"/>
        <w:tblW w:w="1007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410"/>
        <w:gridCol w:w="3089"/>
        <w:gridCol w:w="1057"/>
        <w:gridCol w:w="4514"/>
      </w:tblGrid>
      <w:tr w:rsidR="007224A8">
        <w:tc>
          <w:tcPr>
            <w:tcW w:w="1410" w:type="dxa"/>
            <w:tcBorders>
              <w:top w:val="single" w:sz="8" w:space="0" w:color="000000"/>
              <w:left w:val="single" w:sz="8" w:space="0" w:color="000000"/>
              <w:bottom w:val="single" w:sz="8" w:space="0" w:color="000000"/>
              <w:right w:val="single" w:sz="8" w:space="0" w:color="000000"/>
            </w:tcBorders>
            <w:shd w:val="clear" w:color="auto" w:fill="BFBFBF"/>
          </w:tcPr>
          <w:p w:rsidR="007224A8" w:rsidRDefault="00F340C0">
            <w:pPr>
              <w:spacing w:after="100"/>
              <w:rPr>
                <w:color w:val="FFFFFF"/>
              </w:rPr>
            </w:pPr>
            <w:r>
              <w:rPr>
                <w:b/>
                <w:color w:val="FFFFFF"/>
              </w:rPr>
              <w:tab/>
              <w:t>Date</w:t>
            </w:r>
          </w:p>
        </w:tc>
        <w:tc>
          <w:tcPr>
            <w:tcW w:w="3089" w:type="dxa"/>
            <w:tcBorders>
              <w:top w:val="single" w:sz="8" w:space="0" w:color="000000"/>
              <w:left w:val="single" w:sz="8" w:space="0" w:color="000000"/>
              <w:bottom w:val="single" w:sz="8" w:space="0" w:color="000000"/>
              <w:right w:val="single" w:sz="8" w:space="0" w:color="000000"/>
            </w:tcBorders>
            <w:shd w:val="clear" w:color="auto" w:fill="BFBFBF"/>
          </w:tcPr>
          <w:p w:rsidR="007224A8" w:rsidRDefault="00F340C0">
            <w:pPr>
              <w:spacing w:after="100"/>
              <w:rPr>
                <w:color w:val="FFFFFF"/>
              </w:rPr>
            </w:pPr>
            <w:r>
              <w:rPr>
                <w:b/>
                <w:color w:val="FFFFFF"/>
              </w:rPr>
              <w:t>Change</w:t>
            </w:r>
          </w:p>
        </w:tc>
        <w:tc>
          <w:tcPr>
            <w:tcW w:w="1057" w:type="dxa"/>
            <w:tcBorders>
              <w:top w:val="single" w:sz="8" w:space="0" w:color="000000"/>
              <w:left w:val="single" w:sz="8" w:space="0" w:color="000000"/>
              <w:bottom w:val="single" w:sz="8" w:space="0" w:color="000000"/>
              <w:right w:val="single" w:sz="8" w:space="0" w:color="000000"/>
            </w:tcBorders>
            <w:shd w:val="clear" w:color="auto" w:fill="BFBFBF"/>
          </w:tcPr>
          <w:p w:rsidR="007224A8" w:rsidRDefault="00F340C0">
            <w:pPr>
              <w:spacing w:after="100"/>
              <w:rPr>
                <w:color w:val="FFFFFF"/>
              </w:rPr>
            </w:pPr>
            <w:r>
              <w:rPr>
                <w:b/>
                <w:color w:val="FFFFFF"/>
              </w:rPr>
              <w:t>Revision</w:t>
            </w:r>
          </w:p>
        </w:tc>
        <w:tc>
          <w:tcPr>
            <w:tcW w:w="4514" w:type="dxa"/>
            <w:tcBorders>
              <w:top w:val="single" w:sz="8" w:space="0" w:color="000000"/>
              <w:left w:val="single" w:sz="8" w:space="0" w:color="000000"/>
              <w:bottom w:val="single" w:sz="8" w:space="0" w:color="000000"/>
              <w:right w:val="single" w:sz="8" w:space="0" w:color="000000"/>
            </w:tcBorders>
            <w:shd w:val="clear" w:color="auto" w:fill="BFBFBF"/>
          </w:tcPr>
          <w:p w:rsidR="007224A8" w:rsidRDefault="00F340C0">
            <w:pPr>
              <w:spacing w:after="100"/>
              <w:rPr>
                <w:color w:val="FFFFFF"/>
              </w:rPr>
            </w:pPr>
            <w:r>
              <w:rPr>
                <w:b/>
                <w:color w:val="FFFFFF"/>
              </w:rPr>
              <w:t>Signature</w:t>
            </w:r>
          </w:p>
        </w:tc>
      </w:tr>
      <w:tr w:rsidR="007224A8">
        <w:tc>
          <w:tcPr>
            <w:tcW w:w="1410" w:type="dxa"/>
            <w:tcBorders>
              <w:top w:val="single" w:sz="8" w:space="0" w:color="000000"/>
              <w:left w:val="single" w:sz="8" w:space="0" w:color="000000"/>
              <w:bottom w:val="single" w:sz="8" w:space="0" w:color="000000"/>
              <w:right w:val="single" w:sz="8" w:space="0" w:color="000000"/>
            </w:tcBorders>
          </w:tcPr>
          <w:p w:rsidR="007224A8" w:rsidRDefault="00F340C0">
            <w:r>
              <w:rPr>
                <w:b/>
              </w:rPr>
              <w:t>9/01/2014</w:t>
            </w:r>
          </w:p>
        </w:tc>
        <w:tc>
          <w:tcPr>
            <w:tcW w:w="3089" w:type="dxa"/>
            <w:tcBorders>
              <w:top w:val="single" w:sz="8" w:space="0" w:color="000000"/>
              <w:left w:val="single" w:sz="8" w:space="0" w:color="000000"/>
              <w:bottom w:val="single" w:sz="8" w:space="0" w:color="000000"/>
              <w:right w:val="single" w:sz="8" w:space="0" w:color="000000"/>
            </w:tcBorders>
          </w:tcPr>
          <w:p w:rsidR="007224A8" w:rsidRDefault="00F340C0">
            <w:r>
              <w:t>Initial Release</w:t>
            </w:r>
          </w:p>
        </w:tc>
        <w:tc>
          <w:tcPr>
            <w:tcW w:w="1057" w:type="dxa"/>
            <w:tcBorders>
              <w:top w:val="single" w:sz="8" w:space="0" w:color="000000"/>
              <w:left w:val="single" w:sz="8" w:space="0" w:color="000000"/>
              <w:bottom w:val="single" w:sz="8" w:space="0" w:color="000000"/>
              <w:right w:val="single" w:sz="8" w:space="0" w:color="000000"/>
            </w:tcBorders>
          </w:tcPr>
          <w:p w:rsidR="007224A8" w:rsidRDefault="00F340C0">
            <w:r>
              <w:t>Draft</w:t>
            </w:r>
          </w:p>
        </w:tc>
        <w:tc>
          <w:tcPr>
            <w:tcW w:w="4514" w:type="dxa"/>
            <w:tcBorders>
              <w:top w:val="single" w:sz="8" w:space="0" w:color="000000"/>
              <w:left w:val="single" w:sz="8" w:space="0" w:color="000000"/>
              <w:bottom w:val="single" w:sz="8" w:space="0" w:color="000000"/>
              <w:right w:val="single" w:sz="8" w:space="0" w:color="000000"/>
            </w:tcBorders>
          </w:tcPr>
          <w:p w:rsidR="007224A8" w:rsidRDefault="00F340C0">
            <w:r>
              <w:t xml:space="preserve">Aaron </w:t>
            </w:r>
            <w:proofErr w:type="spellStart"/>
            <w:r>
              <w:t>Sandeen</w:t>
            </w:r>
            <w:proofErr w:type="spellEnd"/>
            <w:r>
              <w:t>, State CIO and Deputy Director</w:t>
            </w:r>
          </w:p>
        </w:tc>
      </w:tr>
      <w:tr w:rsidR="007224A8">
        <w:tc>
          <w:tcPr>
            <w:tcW w:w="1410" w:type="dxa"/>
            <w:tcBorders>
              <w:top w:val="nil"/>
              <w:left w:val="single" w:sz="8" w:space="0" w:color="000000"/>
              <w:bottom w:val="single" w:sz="8" w:space="0" w:color="000000"/>
              <w:right w:val="single" w:sz="8" w:space="0" w:color="000000"/>
            </w:tcBorders>
          </w:tcPr>
          <w:p w:rsidR="007224A8" w:rsidRDefault="00F340C0">
            <w:r>
              <w:rPr>
                <w:b/>
              </w:rPr>
              <w:t>10/11/2016</w:t>
            </w:r>
          </w:p>
        </w:tc>
        <w:tc>
          <w:tcPr>
            <w:tcW w:w="3089" w:type="dxa"/>
            <w:tcBorders>
              <w:top w:val="nil"/>
              <w:left w:val="single" w:sz="8" w:space="0" w:color="000000"/>
              <w:bottom w:val="single" w:sz="8" w:space="0" w:color="000000"/>
              <w:right w:val="single" w:sz="8" w:space="0" w:color="000000"/>
            </w:tcBorders>
          </w:tcPr>
          <w:p w:rsidR="007224A8" w:rsidRDefault="00F340C0">
            <w:r>
              <w:t xml:space="preserve">Updated all the Security Statutes </w:t>
            </w:r>
          </w:p>
        </w:tc>
        <w:tc>
          <w:tcPr>
            <w:tcW w:w="1057" w:type="dxa"/>
            <w:tcBorders>
              <w:top w:val="nil"/>
              <w:left w:val="single" w:sz="8" w:space="0" w:color="000000"/>
              <w:bottom w:val="single" w:sz="8" w:space="0" w:color="000000"/>
              <w:right w:val="single" w:sz="8" w:space="0" w:color="000000"/>
            </w:tcBorders>
          </w:tcPr>
          <w:p w:rsidR="007224A8" w:rsidRDefault="00F340C0">
            <w:r>
              <w:t>1.0</w:t>
            </w:r>
          </w:p>
        </w:tc>
        <w:tc>
          <w:tcPr>
            <w:tcW w:w="4514" w:type="dxa"/>
            <w:tcBorders>
              <w:top w:val="nil"/>
              <w:left w:val="single" w:sz="8" w:space="0" w:color="000000"/>
              <w:bottom w:val="single" w:sz="8" w:space="0" w:color="000000"/>
              <w:right w:val="single" w:sz="8" w:space="0" w:color="000000"/>
            </w:tcBorders>
          </w:tcPr>
          <w:p w:rsidR="007224A8" w:rsidRDefault="00F340C0">
            <w:r>
              <w:t>Morgan Reed, State CIO and Deputy Director</w:t>
            </w:r>
          </w:p>
        </w:tc>
      </w:tr>
      <w:tr w:rsidR="007224A8">
        <w:tc>
          <w:tcPr>
            <w:tcW w:w="1410" w:type="dxa"/>
            <w:tcBorders>
              <w:top w:val="nil"/>
              <w:left w:val="single" w:sz="8" w:space="0" w:color="000000"/>
              <w:bottom w:val="single" w:sz="8" w:space="0" w:color="000000"/>
              <w:right w:val="single" w:sz="8" w:space="0" w:color="000000"/>
            </w:tcBorders>
          </w:tcPr>
          <w:p w:rsidR="007224A8" w:rsidRDefault="00F340C0">
            <w:pPr>
              <w:rPr>
                <w:b/>
              </w:rPr>
            </w:pPr>
            <w:r>
              <w:rPr>
                <w:b/>
              </w:rPr>
              <w:t>9/17/2017</w:t>
            </w:r>
          </w:p>
        </w:tc>
        <w:tc>
          <w:tcPr>
            <w:tcW w:w="3089" w:type="dxa"/>
            <w:tcBorders>
              <w:top w:val="nil"/>
              <w:left w:val="single" w:sz="8" w:space="0" w:color="000000"/>
              <w:bottom w:val="single" w:sz="8" w:space="0" w:color="000000"/>
              <w:right w:val="single" w:sz="8" w:space="0" w:color="000000"/>
            </w:tcBorders>
          </w:tcPr>
          <w:p w:rsidR="007224A8" w:rsidRDefault="00F340C0">
            <w:r>
              <w:t>Updated for PCI-DSS 3.2.1</w:t>
            </w:r>
          </w:p>
        </w:tc>
        <w:tc>
          <w:tcPr>
            <w:tcW w:w="1057" w:type="dxa"/>
            <w:tcBorders>
              <w:top w:val="nil"/>
              <w:left w:val="single" w:sz="8" w:space="0" w:color="000000"/>
              <w:bottom w:val="single" w:sz="8" w:space="0" w:color="000000"/>
              <w:right w:val="single" w:sz="8" w:space="0" w:color="000000"/>
            </w:tcBorders>
          </w:tcPr>
          <w:p w:rsidR="007224A8" w:rsidRDefault="00F340C0">
            <w:r>
              <w:t>2.0</w:t>
            </w:r>
          </w:p>
        </w:tc>
        <w:tc>
          <w:tcPr>
            <w:tcW w:w="4514" w:type="dxa"/>
            <w:tcBorders>
              <w:top w:val="nil"/>
              <w:left w:val="single" w:sz="8" w:space="0" w:color="000000"/>
              <w:bottom w:val="single" w:sz="8" w:space="0" w:color="000000"/>
              <w:right w:val="single" w:sz="8" w:space="0" w:color="000000"/>
            </w:tcBorders>
          </w:tcPr>
          <w:p w:rsidR="007224A8" w:rsidRDefault="00F340C0">
            <w:r>
              <w:t>Morgan Reed, State CIO and Deputy Director</w:t>
            </w:r>
          </w:p>
          <w:p w:rsidR="007224A8" w:rsidRDefault="007224A8"/>
          <w:p w:rsidR="007224A8" w:rsidRDefault="007224A8"/>
        </w:tc>
      </w:tr>
    </w:tbl>
    <w:p w:rsidR="007224A8" w:rsidRDefault="007224A8"/>
    <w:sectPr w:rsidR="007224A8">
      <w:headerReference w:type="default" r:id="rId8"/>
      <w:footerReference w:type="default" r:id="rId9"/>
      <w:headerReference w:type="first" r:id="rId10"/>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2C0" w:rsidRDefault="002632C0">
      <w:r>
        <w:separator/>
      </w:r>
    </w:p>
  </w:endnote>
  <w:endnote w:type="continuationSeparator" w:id="0">
    <w:p w:rsidR="002632C0" w:rsidRDefault="0026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erriweather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A8" w:rsidRDefault="007224A8">
    <w:pPr>
      <w:tabs>
        <w:tab w:val="left" w:pos="4150"/>
      </w:tabs>
      <w:jc w:val="right"/>
    </w:pPr>
  </w:p>
  <w:p w:rsidR="007224A8" w:rsidRDefault="00F340C0">
    <w:pPr>
      <w:pBdr>
        <w:top w:val="nil"/>
        <w:left w:val="nil"/>
        <w:bottom w:val="nil"/>
        <w:right w:val="nil"/>
        <w:between w:val="nil"/>
      </w:pBd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B71519">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B71519">
      <w:rPr>
        <w:b/>
        <w:noProof/>
        <w:color w:val="000000"/>
      </w:rPr>
      <w:t>6</w:t>
    </w:r>
    <w:r>
      <w:rPr>
        <w:b/>
        <w:color w:val="000000"/>
      </w:rPr>
      <w:fldChar w:fldCharType="end"/>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Effective:    </w:t>
    </w:r>
    <w:r>
      <w:t>September 17,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2C0" w:rsidRDefault="002632C0">
      <w:r>
        <w:separator/>
      </w:r>
    </w:p>
  </w:footnote>
  <w:footnote w:type="continuationSeparator" w:id="0">
    <w:p w:rsidR="002632C0" w:rsidRDefault="00263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A8" w:rsidRDefault="007224A8">
    <w:pPr>
      <w:widowControl w:val="0"/>
      <w:pBdr>
        <w:top w:val="nil"/>
        <w:left w:val="nil"/>
        <w:bottom w:val="nil"/>
        <w:right w:val="nil"/>
        <w:between w:val="nil"/>
      </w:pBdr>
      <w:spacing w:line="276" w:lineRule="auto"/>
    </w:pPr>
  </w:p>
  <w:tbl>
    <w:tblPr>
      <w:tblStyle w:val="a2"/>
      <w:tblW w:w="9576" w:type="dxa"/>
      <w:tblInd w:w="360" w:type="dxa"/>
      <w:tblLayout w:type="fixed"/>
      <w:tblLook w:val="0000" w:firstRow="0" w:lastRow="0" w:firstColumn="0" w:lastColumn="0" w:noHBand="0" w:noVBand="0"/>
    </w:tblPr>
    <w:tblGrid>
      <w:gridCol w:w="8424"/>
      <w:gridCol w:w="1152"/>
    </w:tblGrid>
    <w:tr w:rsidR="007224A8">
      <w:tc>
        <w:tcPr>
          <w:tcW w:w="8424" w:type="dxa"/>
          <w:tcBorders>
            <w:top w:val="nil"/>
            <w:left w:val="nil"/>
            <w:bottom w:val="nil"/>
            <w:right w:val="single" w:sz="6" w:space="0" w:color="000000"/>
          </w:tcBorders>
        </w:tcPr>
        <w:p w:rsidR="007224A8" w:rsidRDefault="00F340C0">
          <w:pPr>
            <w:pBdr>
              <w:top w:val="nil"/>
              <w:left w:val="nil"/>
              <w:bottom w:val="nil"/>
              <w:right w:val="nil"/>
              <w:between w:val="nil"/>
            </w:pBdr>
            <w:jc w:val="right"/>
            <w:rPr>
              <w:color w:val="000000"/>
            </w:rPr>
          </w:pPr>
          <w:r>
            <w:rPr>
              <w:color w:val="000000"/>
            </w:rPr>
            <w:t>Arizona Statewide Information Security</w:t>
          </w:r>
        </w:p>
        <w:p w:rsidR="007224A8" w:rsidRDefault="00F340C0">
          <w:pPr>
            <w:pBdr>
              <w:top w:val="nil"/>
              <w:left w:val="nil"/>
              <w:bottom w:val="nil"/>
              <w:right w:val="nil"/>
              <w:between w:val="nil"/>
            </w:pBdr>
            <w:jc w:val="right"/>
            <w:rPr>
              <w:color w:val="000000"/>
            </w:rPr>
          </w:pPr>
          <w:r>
            <w:rPr>
              <w:b/>
            </w:rPr>
            <w:t>STATEWIDE</w:t>
          </w:r>
          <w:r>
            <w:rPr>
              <w:b/>
              <w:color w:val="000000"/>
            </w:rPr>
            <w:t xml:space="preserve"> POLICY (8250):  Media Protection</w:t>
          </w:r>
        </w:p>
      </w:tc>
      <w:tc>
        <w:tcPr>
          <w:tcW w:w="1152" w:type="dxa"/>
          <w:tcBorders>
            <w:top w:val="nil"/>
            <w:left w:val="single" w:sz="6" w:space="0" w:color="000000"/>
            <w:bottom w:val="nil"/>
            <w:right w:val="nil"/>
          </w:tcBorders>
        </w:tcPr>
        <w:p w:rsidR="007224A8" w:rsidRDefault="00F340C0">
          <w:r>
            <w:t>Rev</w:t>
          </w:r>
        </w:p>
        <w:p w:rsidR="007224A8" w:rsidRDefault="00F340C0">
          <w:r>
            <w:rPr>
              <w:b/>
            </w:rPr>
            <w:t>2.0</w:t>
          </w:r>
        </w:p>
      </w:tc>
    </w:tr>
  </w:tbl>
  <w:p w:rsidR="007224A8" w:rsidRDefault="007224A8">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A8" w:rsidRDefault="007224A8">
    <w:pPr>
      <w:widowControl w:val="0"/>
      <w:pBdr>
        <w:top w:val="nil"/>
        <w:left w:val="nil"/>
        <w:bottom w:val="nil"/>
        <w:right w:val="nil"/>
        <w:between w:val="nil"/>
      </w:pBdr>
      <w:spacing w:line="276" w:lineRule="auto"/>
      <w:rPr>
        <w:color w:val="000000"/>
      </w:rPr>
    </w:pPr>
  </w:p>
  <w:tbl>
    <w:tblPr>
      <w:tblStyle w:val="a3"/>
      <w:tblW w:w="929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2545"/>
      <w:gridCol w:w="4252"/>
      <w:gridCol w:w="2498"/>
    </w:tblGrid>
    <w:tr w:rsidR="007224A8">
      <w:trPr>
        <w:trHeight w:val="1600"/>
      </w:trPr>
      <w:tc>
        <w:tcPr>
          <w:tcW w:w="2545" w:type="dxa"/>
          <w:tcBorders>
            <w:top w:val="single" w:sz="4" w:space="0" w:color="000000"/>
            <w:left w:val="single" w:sz="4" w:space="0" w:color="000000"/>
            <w:bottom w:val="single" w:sz="4" w:space="0" w:color="000000"/>
            <w:right w:val="single" w:sz="4" w:space="0" w:color="000000"/>
          </w:tcBorders>
        </w:tcPr>
        <w:p w:rsidR="00D430B8" w:rsidRDefault="00D430B8" w:rsidP="00D430B8">
          <w:pPr>
            <w:pBdr>
              <w:top w:val="nil"/>
              <w:left w:val="nil"/>
              <w:bottom w:val="nil"/>
              <w:right w:val="nil"/>
              <w:between w:val="nil"/>
            </w:pBdr>
            <w:spacing w:before="240"/>
            <w:ind w:right="360"/>
          </w:pPr>
          <w:r w:rsidRPr="00D430B8">
            <w:rPr>
              <w:b/>
            </w:rPr>
            <w:t>A</w:t>
          </w:r>
          <w:r>
            <w:t xml:space="preserve">RIZONA </w:t>
          </w:r>
          <w:r w:rsidRPr="00D430B8">
            <w:rPr>
              <w:b/>
            </w:rPr>
            <w:t>D</w:t>
          </w:r>
          <w:r>
            <w:t>EPARTMENT</w:t>
          </w:r>
        </w:p>
        <w:p w:rsidR="007224A8" w:rsidRDefault="00D430B8" w:rsidP="00D430B8">
          <w:pPr>
            <w:pBdr>
              <w:top w:val="nil"/>
              <w:left w:val="nil"/>
              <w:bottom w:val="nil"/>
              <w:right w:val="nil"/>
              <w:between w:val="nil"/>
            </w:pBdr>
            <w:ind w:right="360"/>
            <w:rPr>
              <w:color w:val="000000"/>
              <w:sz w:val="28"/>
              <w:szCs w:val="28"/>
            </w:rPr>
          </w:pPr>
          <w:r w:rsidRPr="00D430B8">
            <w:rPr>
              <w:b/>
            </w:rPr>
            <w:t>O</w:t>
          </w:r>
          <w:r>
            <w:t xml:space="preserve">F </w:t>
          </w:r>
          <w:r w:rsidRPr="00D430B8">
            <w:rPr>
              <w:b/>
            </w:rPr>
            <w:t>A</w:t>
          </w:r>
          <w:r>
            <w:t>DMINISTRATION</w:t>
          </w:r>
        </w:p>
      </w:tc>
      <w:tc>
        <w:tcPr>
          <w:tcW w:w="4252" w:type="dxa"/>
          <w:tcBorders>
            <w:top w:val="single" w:sz="4" w:space="0" w:color="000000"/>
            <w:left w:val="single" w:sz="4" w:space="0" w:color="000000"/>
            <w:bottom w:val="single" w:sz="4" w:space="0" w:color="000000"/>
            <w:right w:val="single" w:sz="4" w:space="0" w:color="000000"/>
          </w:tcBorders>
          <w:vAlign w:val="center"/>
        </w:tcPr>
        <w:p w:rsidR="007224A8" w:rsidRDefault="00342D43">
          <w:pPr>
            <w:widowControl w:val="0"/>
            <w:spacing w:before="80"/>
            <w:jc w:val="center"/>
            <w:rPr>
              <w:sz w:val="36"/>
              <w:szCs w:val="36"/>
            </w:rPr>
          </w:pPr>
          <w:r>
            <w:rPr>
              <w:b/>
              <w:sz w:val="36"/>
              <w:szCs w:val="36"/>
            </w:rPr>
            <w:t>(Agency)</w:t>
          </w:r>
        </w:p>
        <w:p w:rsidR="007224A8" w:rsidRDefault="00F340C0">
          <w:pPr>
            <w:keepNext/>
            <w:jc w:val="center"/>
            <w:rPr>
              <w:sz w:val="48"/>
              <w:szCs w:val="48"/>
            </w:rPr>
          </w:pPr>
          <w:r>
            <w:rPr>
              <w:b/>
              <w:smallCaps/>
              <w:sz w:val="48"/>
              <w:szCs w:val="48"/>
            </w:rPr>
            <w:t>POLICY</w:t>
          </w:r>
        </w:p>
      </w:tc>
      <w:tc>
        <w:tcPr>
          <w:tcW w:w="2498" w:type="dxa"/>
          <w:tcBorders>
            <w:top w:val="single" w:sz="4" w:space="0" w:color="000000"/>
            <w:left w:val="single" w:sz="4" w:space="0" w:color="000000"/>
            <w:bottom w:val="single" w:sz="4" w:space="0" w:color="000000"/>
            <w:right w:val="single" w:sz="4" w:space="0" w:color="000000"/>
          </w:tcBorders>
        </w:tcPr>
        <w:p w:rsidR="007224A8" w:rsidRDefault="00F340C0">
          <w:pPr>
            <w:keepNext/>
            <w:spacing w:before="80"/>
            <w:jc w:val="center"/>
          </w:pPr>
          <w:r>
            <w:rPr>
              <w:noProof/>
            </w:rPr>
            <w:drawing>
              <wp:inline distT="0" distB="0" distL="114300" distR="114300">
                <wp:extent cx="838200" cy="8204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820420"/>
                        </a:xfrm>
                        <a:prstGeom prst="rect">
                          <a:avLst/>
                        </a:prstGeom>
                        <a:ln/>
                      </pic:spPr>
                    </pic:pic>
                  </a:graphicData>
                </a:graphic>
              </wp:inline>
            </w:drawing>
          </w:r>
        </w:p>
        <w:p w:rsidR="007224A8" w:rsidRDefault="00F340C0">
          <w:pPr>
            <w:keepNext/>
            <w:spacing w:before="80"/>
            <w:jc w:val="center"/>
          </w:pPr>
          <w:r>
            <w:rPr>
              <w:b/>
            </w:rPr>
            <w:t>State of Arizona</w:t>
          </w:r>
        </w:p>
      </w:tc>
    </w:tr>
  </w:tbl>
  <w:p w:rsidR="007224A8" w:rsidRDefault="007224A8">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7FB"/>
    <w:multiLevelType w:val="multilevel"/>
    <w:tmpl w:val="6AA6C8C2"/>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
    <w:nsid w:val="0C68184D"/>
    <w:multiLevelType w:val="multilevel"/>
    <w:tmpl w:val="1504A3E4"/>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2">
    <w:nsid w:val="0F864D52"/>
    <w:multiLevelType w:val="multilevel"/>
    <w:tmpl w:val="0738730C"/>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3">
    <w:nsid w:val="1F2F7E54"/>
    <w:multiLevelType w:val="multilevel"/>
    <w:tmpl w:val="82B02D52"/>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4">
    <w:nsid w:val="39577786"/>
    <w:multiLevelType w:val="multilevel"/>
    <w:tmpl w:val="3E2EEE6E"/>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5">
    <w:nsid w:val="3A690114"/>
    <w:multiLevelType w:val="multilevel"/>
    <w:tmpl w:val="28E2DAE2"/>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6">
    <w:nsid w:val="43293665"/>
    <w:multiLevelType w:val="multilevel"/>
    <w:tmpl w:val="E728838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7">
    <w:nsid w:val="4BA24DEC"/>
    <w:multiLevelType w:val="multilevel"/>
    <w:tmpl w:val="5E207532"/>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8">
    <w:nsid w:val="5BC56F9A"/>
    <w:multiLevelType w:val="multilevel"/>
    <w:tmpl w:val="AA2E357C"/>
    <w:lvl w:ilvl="0">
      <w:start w:val="1"/>
      <w:numFmt w:val="decimal"/>
      <w:lvlText w:val="%1."/>
      <w:lvlJc w:val="left"/>
      <w:pPr>
        <w:ind w:left="360" w:hanging="360"/>
      </w:pPr>
      <w:rPr>
        <w:rFonts w:hint="default"/>
        <w:b/>
        <w:i w:val="0"/>
        <w:vertAlign w:val="baseline"/>
      </w:rPr>
    </w:lvl>
    <w:lvl w:ilvl="1">
      <w:start w:val="1"/>
      <w:numFmt w:val="decimal"/>
      <w:lvlText w:val="%1.%2"/>
      <w:lvlJc w:val="left"/>
      <w:pPr>
        <w:ind w:left="666" w:hanging="522"/>
      </w:pPr>
      <w:rPr>
        <w:rFonts w:hint="default"/>
        <w:b/>
        <w:i w:val="0"/>
        <w:smallCaps w:val="0"/>
        <w:strike w:val="0"/>
        <w:color w:val="000000"/>
        <w:u w:val="none"/>
        <w:vertAlign w:val="baseline"/>
      </w:rPr>
    </w:lvl>
    <w:lvl w:ilvl="2">
      <w:start w:val="1"/>
      <w:numFmt w:val="decimal"/>
      <w:lvlText w:val="%1.%2.%3"/>
      <w:lvlJc w:val="left"/>
      <w:pPr>
        <w:ind w:left="1170" w:hanging="738"/>
      </w:pPr>
      <w:rPr>
        <w:rFonts w:hint="default"/>
        <w:b/>
        <w:vertAlign w:val="baseline"/>
      </w:rPr>
    </w:lvl>
    <w:lvl w:ilvl="3">
      <w:start w:val="1"/>
      <w:numFmt w:val="decimal"/>
      <w:lvlText w:val="%1.%2.%3.%4"/>
      <w:lvlJc w:val="left"/>
      <w:pPr>
        <w:ind w:left="864" w:hanging="864"/>
      </w:pPr>
      <w:rPr>
        <w:rFonts w:hint="default"/>
        <w:vertAlign w:val="baseline"/>
      </w:rPr>
    </w:lvl>
    <w:lvl w:ilvl="4">
      <w:start w:val="1"/>
      <w:numFmt w:val="decimal"/>
      <w:lvlText w:val="%1.%2.%3.%4.%5"/>
      <w:lvlJc w:val="left"/>
      <w:pPr>
        <w:ind w:left="1008" w:hanging="1008"/>
      </w:pPr>
      <w:rPr>
        <w:rFonts w:hint="default"/>
        <w:vertAlign w:val="baseline"/>
      </w:rPr>
    </w:lvl>
    <w:lvl w:ilvl="5">
      <w:start w:val="1"/>
      <w:numFmt w:val="decimal"/>
      <w:lvlText w:val="%1.%2.%3.%4.%5.%6"/>
      <w:lvlJc w:val="left"/>
      <w:pPr>
        <w:ind w:left="1152" w:hanging="1152"/>
      </w:pPr>
      <w:rPr>
        <w:rFonts w:hint="default"/>
        <w:vertAlign w:val="baseline"/>
      </w:rPr>
    </w:lvl>
    <w:lvl w:ilvl="6">
      <w:start w:val="1"/>
      <w:numFmt w:val="decimal"/>
      <w:lvlText w:val="%1.%2.%3.%4.%5.%6.%7"/>
      <w:lvlJc w:val="left"/>
      <w:pPr>
        <w:ind w:left="1296" w:hanging="1296"/>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584" w:hanging="1584"/>
      </w:pPr>
      <w:rPr>
        <w:rFonts w:hint="default"/>
        <w:vertAlign w:val="baseline"/>
      </w:rPr>
    </w:lvl>
  </w:abstractNum>
  <w:abstractNum w:abstractNumId="9">
    <w:nsid w:val="67864A03"/>
    <w:multiLevelType w:val="multilevel"/>
    <w:tmpl w:val="33CC6ECC"/>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0">
    <w:nsid w:val="75324C25"/>
    <w:multiLevelType w:val="multilevel"/>
    <w:tmpl w:val="E83605A2"/>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num w:numId="1">
    <w:abstractNumId w:val="8"/>
  </w:num>
  <w:num w:numId="2">
    <w:abstractNumId w:val="10"/>
  </w:num>
  <w:num w:numId="3">
    <w:abstractNumId w:val="4"/>
  </w:num>
  <w:num w:numId="4">
    <w:abstractNumId w:val="5"/>
  </w:num>
  <w:num w:numId="5">
    <w:abstractNumId w:val="7"/>
  </w:num>
  <w:num w:numId="6">
    <w:abstractNumId w:val="6"/>
  </w:num>
  <w:num w:numId="7">
    <w:abstractNumId w:val="1"/>
  </w:num>
  <w:num w:numId="8">
    <w:abstractNumId w:val="9"/>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224A8"/>
    <w:rsid w:val="002632C0"/>
    <w:rsid w:val="00342D43"/>
    <w:rsid w:val="007224A8"/>
    <w:rsid w:val="00B71519"/>
    <w:rsid w:val="00D430B8"/>
    <w:rsid w:val="00F17DB9"/>
    <w:rsid w:val="00F3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single" w:sz="4" w:space="1" w:color="000000"/>
        <w:right w:val="nil"/>
        <w:between w:val="nil"/>
      </w:pBdr>
      <w:spacing w:before="360" w:after="120" w:line="276" w:lineRule="auto"/>
      <w:ind w:left="360" w:hanging="360"/>
      <w:outlineLvl w:val="0"/>
    </w:pPr>
    <w:rPr>
      <w:b/>
      <w:smallCaps/>
      <w:color w:val="000000"/>
    </w:rPr>
  </w:style>
  <w:style w:type="paragraph" w:styleId="Heading2">
    <w:name w:val="heading 2"/>
    <w:basedOn w:val="Normal"/>
    <w:next w:val="Normal"/>
    <w:pPr>
      <w:spacing w:before="200"/>
      <w:ind w:left="720" w:hanging="576"/>
      <w:outlineLvl w:val="1"/>
    </w:pPr>
  </w:style>
  <w:style w:type="paragraph" w:styleId="Heading3">
    <w:name w:val="heading 3"/>
    <w:basedOn w:val="Normal"/>
    <w:next w:val="Normal"/>
    <w:pPr>
      <w:spacing w:before="200"/>
      <w:ind w:left="117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430B8"/>
    <w:rPr>
      <w:rFonts w:ascii="Tahoma" w:hAnsi="Tahoma" w:cs="Tahoma"/>
      <w:sz w:val="16"/>
      <w:szCs w:val="16"/>
    </w:rPr>
  </w:style>
  <w:style w:type="character" w:customStyle="1" w:styleId="BalloonTextChar">
    <w:name w:val="Balloon Text Char"/>
    <w:basedOn w:val="DefaultParagraphFont"/>
    <w:link w:val="BalloonText"/>
    <w:uiPriority w:val="99"/>
    <w:semiHidden/>
    <w:rsid w:val="00D430B8"/>
    <w:rPr>
      <w:rFonts w:ascii="Tahoma" w:hAnsi="Tahoma" w:cs="Tahoma"/>
      <w:sz w:val="16"/>
      <w:szCs w:val="16"/>
    </w:rPr>
  </w:style>
  <w:style w:type="paragraph" w:styleId="Header">
    <w:name w:val="header"/>
    <w:basedOn w:val="Normal"/>
    <w:link w:val="HeaderChar"/>
    <w:uiPriority w:val="99"/>
    <w:unhideWhenUsed/>
    <w:rsid w:val="00D430B8"/>
    <w:pPr>
      <w:tabs>
        <w:tab w:val="center" w:pos="4680"/>
        <w:tab w:val="right" w:pos="9360"/>
      </w:tabs>
    </w:pPr>
  </w:style>
  <w:style w:type="character" w:customStyle="1" w:styleId="HeaderChar">
    <w:name w:val="Header Char"/>
    <w:basedOn w:val="DefaultParagraphFont"/>
    <w:link w:val="Header"/>
    <w:uiPriority w:val="99"/>
    <w:rsid w:val="00D430B8"/>
  </w:style>
  <w:style w:type="paragraph" w:styleId="Footer">
    <w:name w:val="footer"/>
    <w:basedOn w:val="Normal"/>
    <w:link w:val="FooterChar"/>
    <w:uiPriority w:val="99"/>
    <w:unhideWhenUsed/>
    <w:rsid w:val="00D430B8"/>
    <w:pPr>
      <w:tabs>
        <w:tab w:val="center" w:pos="4680"/>
        <w:tab w:val="right" w:pos="9360"/>
      </w:tabs>
    </w:pPr>
  </w:style>
  <w:style w:type="character" w:customStyle="1" w:styleId="FooterChar">
    <w:name w:val="Footer Char"/>
    <w:basedOn w:val="DefaultParagraphFont"/>
    <w:link w:val="Footer"/>
    <w:uiPriority w:val="99"/>
    <w:rsid w:val="00D43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single" w:sz="4" w:space="1" w:color="000000"/>
        <w:right w:val="nil"/>
        <w:between w:val="nil"/>
      </w:pBdr>
      <w:spacing w:before="360" w:after="120" w:line="276" w:lineRule="auto"/>
      <w:ind w:left="360" w:hanging="360"/>
      <w:outlineLvl w:val="0"/>
    </w:pPr>
    <w:rPr>
      <w:b/>
      <w:smallCaps/>
      <w:color w:val="000000"/>
    </w:rPr>
  </w:style>
  <w:style w:type="paragraph" w:styleId="Heading2">
    <w:name w:val="heading 2"/>
    <w:basedOn w:val="Normal"/>
    <w:next w:val="Normal"/>
    <w:pPr>
      <w:spacing w:before="200"/>
      <w:ind w:left="720" w:hanging="576"/>
      <w:outlineLvl w:val="1"/>
    </w:pPr>
  </w:style>
  <w:style w:type="paragraph" w:styleId="Heading3">
    <w:name w:val="heading 3"/>
    <w:basedOn w:val="Normal"/>
    <w:next w:val="Normal"/>
    <w:pPr>
      <w:spacing w:before="200"/>
      <w:ind w:left="117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430B8"/>
    <w:rPr>
      <w:rFonts w:ascii="Tahoma" w:hAnsi="Tahoma" w:cs="Tahoma"/>
      <w:sz w:val="16"/>
      <w:szCs w:val="16"/>
    </w:rPr>
  </w:style>
  <w:style w:type="character" w:customStyle="1" w:styleId="BalloonTextChar">
    <w:name w:val="Balloon Text Char"/>
    <w:basedOn w:val="DefaultParagraphFont"/>
    <w:link w:val="BalloonText"/>
    <w:uiPriority w:val="99"/>
    <w:semiHidden/>
    <w:rsid w:val="00D430B8"/>
    <w:rPr>
      <w:rFonts w:ascii="Tahoma" w:hAnsi="Tahoma" w:cs="Tahoma"/>
      <w:sz w:val="16"/>
      <w:szCs w:val="16"/>
    </w:rPr>
  </w:style>
  <w:style w:type="paragraph" w:styleId="Header">
    <w:name w:val="header"/>
    <w:basedOn w:val="Normal"/>
    <w:link w:val="HeaderChar"/>
    <w:uiPriority w:val="99"/>
    <w:unhideWhenUsed/>
    <w:rsid w:val="00D430B8"/>
    <w:pPr>
      <w:tabs>
        <w:tab w:val="center" w:pos="4680"/>
        <w:tab w:val="right" w:pos="9360"/>
      </w:tabs>
    </w:pPr>
  </w:style>
  <w:style w:type="character" w:customStyle="1" w:styleId="HeaderChar">
    <w:name w:val="Header Char"/>
    <w:basedOn w:val="DefaultParagraphFont"/>
    <w:link w:val="Header"/>
    <w:uiPriority w:val="99"/>
    <w:rsid w:val="00D430B8"/>
  </w:style>
  <w:style w:type="paragraph" w:styleId="Footer">
    <w:name w:val="footer"/>
    <w:basedOn w:val="Normal"/>
    <w:link w:val="FooterChar"/>
    <w:uiPriority w:val="99"/>
    <w:unhideWhenUsed/>
    <w:rsid w:val="00D430B8"/>
    <w:pPr>
      <w:tabs>
        <w:tab w:val="center" w:pos="4680"/>
        <w:tab w:val="right" w:pos="9360"/>
      </w:tabs>
    </w:pPr>
  </w:style>
  <w:style w:type="character" w:customStyle="1" w:styleId="FooterChar">
    <w:name w:val="Footer Char"/>
    <w:basedOn w:val="DefaultParagraphFont"/>
    <w:link w:val="Footer"/>
    <w:uiPriority w:val="99"/>
    <w:rsid w:val="00D43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Yeargain</dc:creator>
  <cp:lastModifiedBy>Ed Yeargain</cp:lastModifiedBy>
  <cp:revision>3</cp:revision>
  <dcterms:created xsi:type="dcterms:W3CDTF">2019-01-31T15:51:00Z</dcterms:created>
  <dcterms:modified xsi:type="dcterms:W3CDTF">2019-01-31T19:46:00Z</dcterms:modified>
</cp:coreProperties>
</file>